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2691E2" w14:textId="77777777" w:rsidR="00A8709F" w:rsidRDefault="00A8709F"/>
    <w:p w14:paraId="70FE7FEF" w14:textId="78425BA5" w:rsidR="00C752C8" w:rsidRPr="00F07F17" w:rsidRDefault="00EC27E0">
      <w:pPr>
        <w:rPr>
          <w:rStyle w:val="Accentuationlgre"/>
        </w:rPr>
      </w:pPr>
      <w:r>
        <w:rPr>
          <w:noProof/>
          <w:lang w:eastAsia="fr-FR"/>
        </w:rPr>
        <w:drawing>
          <wp:inline distT="0" distB="0" distL="0" distR="0" wp14:anchorId="79341DCD" wp14:editId="5F6835E9">
            <wp:extent cx="1800225" cy="560627"/>
            <wp:effectExtent l="0" t="0" r="0" b="0"/>
            <wp:docPr id="2" name="Image 2" descr="cid:93B497F7-97B6-467D-BF54-554E16532EF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93B497F7-97B6-467D-BF54-554E16532EF5"/>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826148" cy="568700"/>
                    </a:xfrm>
                    <a:prstGeom prst="rect">
                      <a:avLst/>
                    </a:prstGeom>
                    <a:noFill/>
                    <a:ln>
                      <a:noFill/>
                    </a:ln>
                  </pic:spPr>
                </pic:pic>
              </a:graphicData>
            </a:graphic>
          </wp:inline>
        </w:drawing>
      </w:r>
      <w:r w:rsidR="0057442E">
        <w:tab/>
      </w:r>
      <w:r w:rsidR="0057442E">
        <w:tab/>
      </w:r>
      <w:r w:rsidR="0057442E">
        <w:tab/>
      </w:r>
      <w:r w:rsidR="0057442E">
        <w:tab/>
      </w:r>
      <w:r w:rsidR="0057442E">
        <w:tab/>
      </w:r>
      <w:r w:rsidR="00D16F2C">
        <w:rPr>
          <w:color w:val="A81815"/>
        </w:rPr>
        <w:t xml:space="preserve">Mercredi 30 </w:t>
      </w:r>
      <w:r w:rsidR="00D16F2C" w:rsidRPr="00C60F8F">
        <w:rPr>
          <w:color w:val="A81815"/>
        </w:rPr>
        <w:t>juin</w:t>
      </w:r>
      <w:r w:rsidR="009206B0">
        <w:rPr>
          <w:color w:val="A81815"/>
        </w:rPr>
        <w:t xml:space="preserve"> </w:t>
      </w:r>
      <w:r w:rsidR="00A46069">
        <w:rPr>
          <w:color w:val="A81815"/>
        </w:rPr>
        <w:t>202</w:t>
      </w:r>
      <w:r w:rsidR="00A8709F">
        <w:rPr>
          <w:color w:val="A81815"/>
        </w:rPr>
        <w:t>1</w:t>
      </w:r>
      <w:r w:rsidR="00F10D69">
        <w:rPr>
          <w:color w:val="A81815"/>
        </w:rPr>
        <w:t xml:space="preserve"> </w:t>
      </w:r>
    </w:p>
    <w:p w14:paraId="1E4D48DC" w14:textId="7F183ED3" w:rsidR="00A8709F" w:rsidRPr="00A8709F" w:rsidRDefault="002006AC" w:rsidP="002F6925">
      <w:pPr>
        <w:rPr>
          <w:rFonts w:ascii="Avenir LT Std 65 Medium" w:hAnsi="Avenir LT Std 65 Medium"/>
          <w:b/>
          <w:bCs/>
        </w:rPr>
      </w:pPr>
      <w:r w:rsidRPr="003959D8">
        <w:rPr>
          <w:rFonts w:ascii="Verdana" w:eastAsia="Calibri" w:hAnsi="Verdana" w:cs="Calibri"/>
          <w:b/>
          <w:bCs/>
          <w:noProof/>
          <w:color w:val="A81815"/>
          <w:sz w:val="36"/>
          <w:szCs w:val="36"/>
        </w:rPr>
        <mc:AlternateContent>
          <mc:Choice Requires="wps">
            <w:drawing>
              <wp:anchor distT="0" distB="0" distL="114300" distR="114300" simplePos="0" relativeHeight="251659264" behindDoc="0" locked="0" layoutInCell="1" allowOverlap="1" wp14:anchorId="3BE90FF9" wp14:editId="375B1F98">
                <wp:simplePos x="0" y="0"/>
                <wp:positionH relativeFrom="column">
                  <wp:posOffset>-556895</wp:posOffset>
                </wp:positionH>
                <wp:positionV relativeFrom="paragraph">
                  <wp:posOffset>727710</wp:posOffset>
                </wp:positionV>
                <wp:extent cx="4267200" cy="45719"/>
                <wp:effectExtent l="0" t="0" r="0" b="12065"/>
                <wp:wrapNone/>
                <wp:docPr id="3" name="Signe Moins 3"/>
                <wp:cNvGraphicFramePr/>
                <a:graphic xmlns:a="http://schemas.openxmlformats.org/drawingml/2006/main">
                  <a:graphicData uri="http://schemas.microsoft.com/office/word/2010/wordprocessingShape">
                    <wps:wsp>
                      <wps:cNvSpPr/>
                      <wps:spPr>
                        <a:xfrm>
                          <a:off x="0" y="0"/>
                          <a:ext cx="4267200" cy="45719"/>
                        </a:xfrm>
                        <a:prstGeom prst="mathMinus">
                          <a:avLst/>
                        </a:prstGeom>
                        <a:solidFill>
                          <a:srgbClr val="A81815"/>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326770" id="Signe Moins 3" o:spid="_x0000_s1026" style="position:absolute;margin-left:-43.85pt;margin-top:57.3pt;width:336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267200,45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" path="m565617,17483r3135966,l3701583,28236r-3135966,l565617,17483xe" fillcolor="#a81815" strokecolor="#c00000" strokeweight="1pt">
                <v:stroke joinstyle="miter"/>
                <v:path arrowok="t" o:connecttype="custom" o:connectlocs="565617,17483;3701583,17483;3701583,28236;565617,28236;565617,17483" o:connectangles="0,0,0,0,0"/>
              </v:shape>
            </w:pict>
          </mc:Fallback>
        </mc:AlternateContent>
      </w:r>
      <w:r w:rsidR="00EC27E0">
        <w:br/>
      </w:r>
      <w:r w:rsidR="00A11634">
        <w:rPr>
          <w:rFonts w:ascii="Avenir LT Std 65 Medium" w:hAnsi="Avenir LT Std 65 Medium"/>
          <w:b/>
          <w:bCs/>
          <w:color w:val="A81815"/>
          <w:sz w:val="32"/>
          <w:szCs w:val="32"/>
        </w:rPr>
        <w:t xml:space="preserve">ASSURANCE CHOMAGE : BONUS-MALUS ET DIVERSES MESURES </w:t>
      </w:r>
    </w:p>
    <w:p w14:paraId="19529E37" w14:textId="60075E0C" w:rsidR="00A8709F" w:rsidRDefault="00DA477E" w:rsidP="00A8709F">
      <w:r>
        <w:t>Le</w:t>
      </w:r>
      <w:r w:rsidR="00A8709F">
        <w:t xml:space="preserve"> </w:t>
      </w:r>
      <w:hyperlink r:id="rId10" w:history="1">
        <w:r w:rsidR="00A8709F" w:rsidRPr="00A8709F">
          <w:rPr>
            <w:rStyle w:val="Lienhypertexte"/>
          </w:rPr>
          <w:t>décret n° 2021-346 du 30 mars 2021 portant diverses mesures relatives au régime d'assurance chômage</w:t>
        </w:r>
      </w:hyperlink>
      <w:r w:rsidR="00A8709F">
        <w:t xml:space="preserve"> acte la fin des discussions sur cette réforme controversée. </w:t>
      </w:r>
    </w:p>
    <w:p w14:paraId="4B2C410F" w14:textId="5147BF70" w:rsidR="00A8709F" w:rsidRDefault="00A8709F" w:rsidP="002F6925">
      <w:r>
        <w:t xml:space="preserve">Pour rappel, la </w:t>
      </w:r>
      <w:r w:rsidR="00FA601D">
        <w:t xml:space="preserve">dernière </w:t>
      </w:r>
      <w:r w:rsidR="004705CD">
        <w:t xml:space="preserve">réforme de l’assurance chômage </w:t>
      </w:r>
      <w:r>
        <w:t>devait</w:t>
      </w:r>
      <w:r w:rsidR="004705CD">
        <w:t xml:space="preserve"> entre</w:t>
      </w:r>
      <w:r>
        <w:t>r</w:t>
      </w:r>
      <w:r w:rsidR="004705CD">
        <w:t xml:space="preserve"> en vigueur en deux temps</w:t>
      </w:r>
      <w:r w:rsidR="00EE3F0A">
        <w:t xml:space="preserve"> : </w:t>
      </w:r>
      <w:r w:rsidR="003D490E">
        <w:t xml:space="preserve">au </w:t>
      </w:r>
      <w:r w:rsidR="00EE3F0A">
        <w:t>1</w:t>
      </w:r>
      <w:r w:rsidR="00EE3F0A" w:rsidRPr="00EE3F0A">
        <w:rPr>
          <w:vertAlign w:val="superscript"/>
        </w:rPr>
        <w:t>er</w:t>
      </w:r>
      <w:r w:rsidR="00EE3F0A">
        <w:t xml:space="preserve"> novembre 2019 </w:t>
      </w:r>
      <w:r w:rsidR="003D490E">
        <w:t>puis au</w:t>
      </w:r>
      <w:r w:rsidR="00EE3F0A">
        <w:t xml:space="preserve"> 1</w:t>
      </w:r>
      <w:r w:rsidR="00EE3F0A" w:rsidRPr="00EE3F0A">
        <w:rPr>
          <w:vertAlign w:val="superscript"/>
        </w:rPr>
        <w:t>er</w:t>
      </w:r>
      <w:r w:rsidR="00EE3F0A">
        <w:t xml:space="preserve"> avril 2020</w:t>
      </w:r>
      <w:r>
        <w:t xml:space="preserve">. Successivement reportée pour la seconde partie, elle fit finalement l’objet de modification sur 4 thèmes particuliers : </w:t>
      </w:r>
    </w:p>
    <w:p w14:paraId="1163AC68" w14:textId="77777777" w:rsidR="00A8709F" w:rsidRDefault="00A8709F" w:rsidP="00A8709F">
      <w:pPr>
        <w:pStyle w:val="Paragraphedeliste"/>
        <w:numPr>
          <w:ilvl w:val="0"/>
          <w:numId w:val="26"/>
        </w:numPr>
        <w:spacing w:before="0" w:beforeAutospacing="0" w:after="160" w:afterAutospacing="0"/>
      </w:pPr>
      <w:r>
        <w:t xml:space="preserve">Le bonus-malus ; </w:t>
      </w:r>
    </w:p>
    <w:p w14:paraId="37D9C795" w14:textId="77777777" w:rsidR="00A8709F" w:rsidRDefault="00A8709F" w:rsidP="00A8709F">
      <w:pPr>
        <w:pStyle w:val="Paragraphedeliste"/>
        <w:numPr>
          <w:ilvl w:val="0"/>
          <w:numId w:val="26"/>
        </w:numPr>
        <w:spacing w:before="0" w:beforeAutospacing="0" w:after="160" w:afterAutospacing="0"/>
      </w:pPr>
      <w:r>
        <w:t xml:space="preserve">Le salaire journalier de référence ; </w:t>
      </w:r>
    </w:p>
    <w:p w14:paraId="38CA62A4" w14:textId="77777777" w:rsidR="00A8709F" w:rsidRDefault="00A8709F" w:rsidP="00A8709F">
      <w:pPr>
        <w:pStyle w:val="Paragraphedeliste"/>
        <w:numPr>
          <w:ilvl w:val="0"/>
          <w:numId w:val="26"/>
        </w:numPr>
        <w:spacing w:before="0" w:beforeAutospacing="0" w:after="160" w:afterAutospacing="0"/>
      </w:pPr>
      <w:r>
        <w:t xml:space="preserve">La dégressivité ; </w:t>
      </w:r>
    </w:p>
    <w:p w14:paraId="7288519A" w14:textId="02CAAA43" w:rsidR="00A8709F" w:rsidRDefault="00A8709F" w:rsidP="00A8709F">
      <w:pPr>
        <w:pStyle w:val="Paragraphedeliste"/>
        <w:numPr>
          <w:ilvl w:val="0"/>
          <w:numId w:val="26"/>
        </w:numPr>
        <w:spacing w:before="0" w:beforeAutospacing="0" w:after="160" w:afterAutospacing="0"/>
      </w:pPr>
      <w:r>
        <w:t xml:space="preserve">Les conditions d’ouverture et de rechargement des droits. </w:t>
      </w:r>
    </w:p>
    <w:p w14:paraId="05AC83AD" w14:textId="15AFE84D" w:rsidR="004705CD" w:rsidRDefault="00A8709F" w:rsidP="002F6925">
      <w:r w:rsidRPr="00DC2516">
        <w:rPr>
          <w:color w:val="A81815"/>
        </w:rPr>
        <w:t xml:space="preserve">Vous trouverez le détail </w:t>
      </w:r>
      <w:r w:rsidR="00D16F2C" w:rsidRPr="00DC2516">
        <w:rPr>
          <w:color w:val="A81815"/>
        </w:rPr>
        <w:t xml:space="preserve">du dispositif bonus-malus précisé par </w:t>
      </w:r>
      <w:hyperlink r:id="rId11" w:history="1">
        <w:r w:rsidR="00D16F2C" w:rsidRPr="00D16F2C">
          <w:rPr>
            <w:rStyle w:val="Lienhypertexte"/>
          </w:rPr>
          <w:t>arrêté du 28 juin 2021</w:t>
        </w:r>
      </w:hyperlink>
      <w:r>
        <w:t xml:space="preserve"> </w:t>
      </w:r>
      <w:r w:rsidRPr="00DC2516">
        <w:rPr>
          <w:color w:val="A81815"/>
        </w:rPr>
        <w:t>ci-dessous</w:t>
      </w:r>
      <w:r w:rsidR="001A1AC6">
        <w:t xml:space="preserve"> qui entre en vigueur le 1</w:t>
      </w:r>
      <w:r w:rsidR="001A1AC6" w:rsidRPr="002C4495">
        <w:rPr>
          <w:vertAlign w:val="superscript"/>
        </w:rPr>
        <w:t>er</w:t>
      </w:r>
      <w:r w:rsidR="001A1AC6">
        <w:t xml:space="preserve"> juillet 2021</w:t>
      </w:r>
    </w:p>
    <w:p w14:paraId="179DEF8B" w14:textId="77777777" w:rsidR="00A8709F" w:rsidRPr="007741F6" w:rsidRDefault="00A8709F" w:rsidP="00A8709F">
      <w:pPr>
        <w:pStyle w:val="Titre1"/>
        <w:rPr>
          <w:color w:val="F59E33"/>
        </w:rPr>
      </w:pPr>
      <w:r w:rsidRPr="00A11634">
        <w:rPr>
          <w:color w:val="F59E33"/>
        </w:rPr>
        <w:t>BONUS MALUS</w:t>
      </w:r>
    </w:p>
    <w:p w14:paraId="0EEC2744" w14:textId="2D7E04B6" w:rsidR="00CE5B71" w:rsidRDefault="00A8709F" w:rsidP="00A8709F">
      <w:pPr>
        <w:spacing w:before="0" w:beforeAutospacing="0" w:after="160" w:afterAutospacing="0"/>
      </w:pPr>
      <w:r w:rsidRPr="00AE78AA">
        <w:t xml:space="preserve">Le décret </w:t>
      </w:r>
      <w:r w:rsidR="00E3599A">
        <w:t>du 30 mars 2021</w:t>
      </w:r>
      <w:r w:rsidRPr="00AE78AA">
        <w:t xml:space="preserve"> </w:t>
      </w:r>
      <w:r w:rsidR="00E3599A">
        <w:t>réinstaure le</w:t>
      </w:r>
      <w:r w:rsidRPr="00AE78AA">
        <w:t xml:space="preserve"> dispositif de bonus-malus sur la contribution </w:t>
      </w:r>
      <w:r w:rsidR="002C4495">
        <w:t>d’</w:t>
      </w:r>
      <w:r w:rsidR="00DA477E">
        <w:t xml:space="preserve">assurance </w:t>
      </w:r>
      <w:r w:rsidRPr="00AE78AA">
        <w:t xml:space="preserve">chômage due par les entreprises de 11 salariés et plus, et ce afin de limiter le recours aux contrats courts. </w:t>
      </w:r>
      <w:r>
        <w:t xml:space="preserve">Ce dispositif consiste à moduler le taux de contribution d’assurance chômage, à la hausse (5,05% maximum) ou à la baisse (3%) en fonction du taux de séparation des entreprises concernées. </w:t>
      </w:r>
    </w:p>
    <w:p w14:paraId="4AB2EDB7" w14:textId="184541F7" w:rsidR="00A11634" w:rsidRPr="007741F6" w:rsidRDefault="00A11634" w:rsidP="00A11634">
      <w:pPr>
        <w:pStyle w:val="Titre1"/>
        <w:ind w:firstLine="708"/>
        <w:rPr>
          <w:color w:val="F59E33"/>
        </w:rPr>
      </w:pPr>
      <w:r>
        <w:rPr>
          <w:color w:val="F59E33"/>
        </w:rPr>
        <w:t>CHAMP D’APPLICATION DE LA MODULATION</w:t>
      </w:r>
    </w:p>
    <w:p w14:paraId="41FD9A4A" w14:textId="6F2A7548" w:rsidR="00CE5B71" w:rsidRDefault="00A11634" w:rsidP="00CE5B71">
      <w:r>
        <w:t>L</w:t>
      </w:r>
      <w:r w:rsidR="00CE5B71">
        <w:t>’article 50-3 de l’Annexe A du décret n°2019-797 du 26 juillet 2019 modifié</w:t>
      </w:r>
      <w:r>
        <w:t>e</w:t>
      </w:r>
      <w:r w:rsidR="00CE5B71">
        <w:t xml:space="preserve"> précise que le bonus-malus est applicable </w:t>
      </w:r>
      <w:r w:rsidR="00CE5B71" w:rsidRPr="00CE5B71">
        <w:rPr>
          <w:b/>
          <w:bCs/>
        </w:rPr>
        <w:t>aux employeurs de 11 salariés et plus des secteurs d’activité</w:t>
      </w:r>
      <w:r w:rsidR="00CE5B71">
        <w:t xml:space="preserve"> dans lesquels</w:t>
      </w:r>
      <w:r w:rsidR="00CE5B71" w:rsidRPr="00A11634">
        <w:rPr>
          <w:b/>
          <w:bCs/>
        </w:rPr>
        <w:t xml:space="preserve"> le taux de séparation moyen est supérieur à </w:t>
      </w:r>
      <w:r w:rsidR="00CE5B71" w:rsidRPr="00D1279E">
        <w:rPr>
          <w:b/>
          <w:bCs/>
        </w:rPr>
        <w:t>150 %</w:t>
      </w:r>
      <w:r w:rsidR="00CE5B71">
        <w:t xml:space="preserve"> sur une période de 3 ans. </w:t>
      </w:r>
    </w:p>
    <w:p w14:paraId="321BDEB9" w14:textId="4881BBC9" w:rsidR="00D16F2C" w:rsidRPr="00DC2516" w:rsidRDefault="002C4495" w:rsidP="00D16F2C">
      <w:pPr>
        <w:rPr>
          <w:color w:val="A81815"/>
        </w:rPr>
      </w:pPr>
      <w:hyperlink r:id="rId12" w:history="1">
        <w:r w:rsidR="00D16F2C" w:rsidRPr="00D16F2C">
          <w:rPr>
            <w:rStyle w:val="Lienhypertexte"/>
          </w:rPr>
          <w:t>L’</w:t>
        </w:r>
        <w:r w:rsidR="00CE5B71" w:rsidRPr="00D16F2C">
          <w:rPr>
            <w:rStyle w:val="Lienhypertexte"/>
          </w:rPr>
          <w:t>arrêté</w:t>
        </w:r>
        <w:r w:rsidR="00D16F2C" w:rsidRPr="00D16F2C">
          <w:rPr>
            <w:rStyle w:val="Lienhypertexte"/>
          </w:rPr>
          <w:t xml:space="preserve"> du 28 juin 2021</w:t>
        </w:r>
      </w:hyperlink>
      <w:r w:rsidR="00D16F2C">
        <w:t xml:space="preserve"> </w:t>
      </w:r>
      <w:r w:rsidR="00E476F0">
        <w:rPr>
          <w:color w:val="A81815"/>
        </w:rPr>
        <w:t>fixe</w:t>
      </w:r>
      <w:r w:rsidR="00D16F2C" w:rsidRPr="00DC2516">
        <w:rPr>
          <w:color w:val="A81815"/>
        </w:rPr>
        <w:t xml:space="preserve"> la </w:t>
      </w:r>
      <w:r w:rsidR="00D16F2C" w:rsidRPr="006762EA">
        <w:rPr>
          <w:b/>
          <w:bCs/>
          <w:color w:val="A81815"/>
          <w:u w:val="single"/>
        </w:rPr>
        <w:t>liste des secteurs concernés</w:t>
      </w:r>
      <w:r w:rsidR="00D16F2C" w:rsidRPr="00DC2516">
        <w:rPr>
          <w:color w:val="A81815"/>
        </w:rPr>
        <w:t xml:space="preserve"> par ce dispositif. En application de ce texte, les secteurs dont le taux de séparation moyen au cours de la période comprise </w:t>
      </w:r>
      <w:r w:rsidR="00D16F2C" w:rsidRPr="00DC2516">
        <w:rPr>
          <w:color w:val="A81815"/>
        </w:rPr>
        <w:lastRenderedPageBreak/>
        <w:t>entre le 1</w:t>
      </w:r>
      <w:r w:rsidR="00D16F2C" w:rsidRPr="00DC2516">
        <w:rPr>
          <w:color w:val="A81815"/>
          <w:vertAlign w:val="superscript"/>
        </w:rPr>
        <w:t>er</w:t>
      </w:r>
      <w:r w:rsidR="00D16F2C" w:rsidRPr="00DC2516">
        <w:rPr>
          <w:color w:val="A81815"/>
        </w:rPr>
        <w:t xml:space="preserve"> janvier 2017 et le 31 décembre 2019 est supérieur au seuil de 150 %, sont les suivants :</w:t>
      </w:r>
    </w:p>
    <w:p w14:paraId="6545099F" w14:textId="361A8AAD" w:rsidR="00D16F2C" w:rsidRPr="00DC2516" w:rsidRDefault="00D16F2C" w:rsidP="00D16F2C">
      <w:pPr>
        <w:pStyle w:val="Paragraphedeliste"/>
        <w:numPr>
          <w:ilvl w:val="0"/>
          <w:numId w:val="32"/>
        </w:numPr>
        <w:rPr>
          <w:color w:val="A81815"/>
        </w:rPr>
      </w:pPr>
      <w:proofErr w:type="gramStart"/>
      <w:r w:rsidRPr="00DC2516">
        <w:rPr>
          <w:color w:val="A81815"/>
        </w:rPr>
        <w:t>fabrication</w:t>
      </w:r>
      <w:proofErr w:type="gramEnd"/>
      <w:r w:rsidRPr="00DC2516">
        <w:rPr>
          <w:color w:val="A81815"/>
        </w:rPr>
        <w:t xml:space="preserve"> de denrées alimentaires, de boissons et de produits à base de tabac ;</w:t>
      </w:r>
    </w:p>
    <w:p w14:paraId="248F009D" w14:textId="036CF4E0" w:rsidR="00D16F2C" w:rsidRPr="00DC2516" w:rsidRDefault="00D16F2C" w:rsidP="00D16F2C">
      <w:pPr>
        <w:pStyle w:val="Paragraphedeliste"/>
        <w:numPr>
          <w:ilvl w:val="0"/>
          <w:numId w:val="32"/>
        </w:numPr>
        <w:rPr>
          <w:color w:val="A81815"/>
        </w:rPr>
      </w:pPr>
      <w:proofErr w:type="gramStart"/>
      <w:r w:rsidRPr="00DC2516">
        <w:rPr>
          <w:color w:val="A81815"/>
        </w:rPr>
        <w:t>production</w:t>
      </w:r>
      <w:proofErr w:type="gramEnd"/>
      <w:r w:rsidRPr="00DC2516">
        <w:rPr>
          <w:color w:val="A81815"/>
        </w:rPr>
        <w:t xml:space="preserve"> et distribution d'eau, assainissement, gestion des déchets et dépollution ;</w:t>
      </w:r>
    </w:p>
    <w:p w14:paraId="1D175770" w14:textId="2BE0DF1E" w:rsidR="00D16F2C" w:rsidRPr="00DC2516" w:rsidRDefault="00D16F2C" w:rsidP="00D16F2C">
      <w:pPr>
        <w:pStyle w:val="Paragraphedeliste"/>
        <w:numPr>
          <w:ilvl w:val="0"/>
          <w:numId w:val="32"/>
        </w:numPr>
        <w:rPr>
          <w:color w:val="A81815"/>
        </w:rPr>
      </w:pPr>
      <w:proofErr w:type="gramStart"/>
      <w:r w:rsidRPr="00DC2516">
        <w:rPr>
          <w:color w:val="A81815"/>
        </w:rPr>
        <w:t>autres</w:t>
      </w:r>
      <w:proofErr w:type="gramEnd"/>
      <w:r w:rsidRPr="00DC2516">
        <w:rPr>
          <w:color w:val="A81815"/>
        </w:rPr>
        <w:t xml:space="preserve"> activités spécialisées, scientifiques et techniques ;</w:t>
      </w:r>
    </w:p>
    <w:p w14:paraId="23821358" w14:textId="3071385E" w:rsidR="00D16F2C" w:rsidRPr="00DC2516" w:rsidRDefault="00D16F2C" w:rsidP="00D16F2C">
      <w:pPr>
        <w:pStyle w:val="Paragraphedeliste"/>
        <w:numPr>
          <w:ilvl w:val="0"/>
          <w:numId w:val="32"/>
        </w:numPr>
        <w:rPr>
          <w:color w:val="A81815"/>
        </w:rPr>
      </w:pPr>
      <w:proofErr w:type="gramStart"/>
      <w:r w:rsidRPr="00DC2516">
        <w:rPr>
          <w:color w:val="A81815"/>
        </w:rPr>
        <w:t>hébergement</w:t>
      </w:r>
      <w:proofErr w:type="gramEnd"/>
      <w:r w:rsidRPr="00DC2516">
        <w:rPr>
          <w:color w:val="A81815"/>
        </w:rPr>
        <w:t xml:space="preserve"> et restauration ;</w:t>
      </w:r>
    </w:p>
    <w:p w14:paraId="502CDE86" w14:textId="1AE64378" w:rsidR="00D16F2C" w:rsidRPr="00DC2516" w:rsidRDefault="00D16F2C" w:rsidP="00D16F2C">
      <w:pPr>
        <w:pStyle w:val="Paragraphedeliste"/>
        <w:numPr>
          <w:ilvl w:val="0"/>
          <w:numId w:val="32"/>
        </w:numPr>
        <w:rPr>
          <w:color w:val="A81815"/>
        </w:rPr>
      </w:pPr>
      <w:proofErr w:type="gramStart"/>
      <w:r w:rsidRPr="00DC2516">
        <w:rPr>
          <w:color w:val="A81815"/>
        </w:rPr>
        <w:t>transports</w:t>
      </w:r>
      <w:proofErr w:type="gramEnd"/>
      <w:r w:rsidRPr="00DC2516">
        <w:rPr>
          <w:color w:val="A81815"/>
        </w:rPr>
        <w:t xml:space="preserve"> et entreposage ;</w:t>
      </w:r>
    </w:p>
    <w:p w14:paraId="6461A66D" w14:textId="3052A319" w:rsidR="00D16F2C" w:rsidRPr="00DC2516" w:rsidRDefault="00D16F2C" w:rsidP="00D16F2C">
      <w:pPr>
        <w:pStyle w:val="Paragraphedeliste"/>
        <w:numPr>
          <w:ilvl w:val="0"/>
          <w:numId w:val="32"/>
        </w:numPr>
        <w:rPr>
          <w:color w:val="A81815"/>
        </w:rPr>
      </w:pPr>
      <w:proofErr w:type="gramStart"/>
      <w:r w:rsidRPr="00DC2516">
        <w:rPr>
          <w:color w:val="A81815"/>
        </w:rPr>
        <w:t>fabrication</w:t>
      </w:r>
      <w:proofErr w:type="gramEnd"/>
      <w:r w:rsidRPr="00DC2516">
        <w:rPr>
          <w:color w:val="A81815"/>
        </w:rPr>
        <w:t xml:space="preserve"> de produits en caoutchouc et en plastique ainsi que d'autres produits minéraux non métalliques ;</w:t>
      </w:r>
    </w:p>
    <w:p w14:paraId="74593F36" w14:textId="143107DA" w:rsidR="00D16F2C" w:rsidRPr="00DC2516" w:rsidRDefault="00D16F2C" w:rsidP="00D16F2C">
      <w:pPr>
        <w:pStyle w:val="Paragraphedeliste"/>
        <w:numPr>
          <w:ilvl w:val="0"/>
          <w:numId w:val="32"/>
        </w:numPr>
        <w:rPr>
          <w:color w:val="A81815"/>
        </w:rPr>
      </w:pPr>
      <w:proofErr w:type="gramStart"/>
      <w:r w:rsidRPr="00DC2516">
        <w:rPr>
          <w:color w:val="A81815"/>
        </w:rPr>
        <w:t>travail</w:t>
      </w:r>
      <w:proofErr w:type="gramEnd"/>
      <w:r w:rsidRPr="00DC2516">
        <w:rPr>
          <w:color w:val="A81815"/>
        </w:rPr>
        <w:t xml:space="preserve"> du bois, industries du papier et imprimerie.</w:t>
      </w:r>
    </w:p>
    <w:p w14:paraId="1F2E3252" w14:textId="2C06E1A4" w:rsidR="004473E1" w:rsidRPr="00DC2516" w:rsidRDefault="00CE5B71" w:rsidP="00CE5B71">
      <w:pPr>
        <w:rPr>
          <w:color w:val="A81815"/>
        </w:rPr>
      </w:pPr>
      <w:r>
        <w:t xml:space="preserve">Pour déterminer les </w:t>
      </w:r>
      <w:r w:rsidRPr="005E5ADF">
        <w:rPr>
          <w:u w:val="single"/>
        </w:rPr>
        <w:t>employeurs concernés</w:t>
      </w:r>
      <w:r>
        <w:t>, l’article 50-3 du décret n° 2019-797 prévoit que l</w:t>
      </w:r>
      <w:r w:rsidRPr="008B7AC4">
        <w:t xml:space="preserve">'affectation d'un employeur dans l'un des secteurs </w:t>
      </w:r>
      <w:r>
        <w:t xml:space="preserve">concernés </w:t>
      </w:r>
      <w:r w:rsidRPr="008B7AC4">
        <w:t>est effectuée</w:t>
      </w:r>
      <w:r>
        <w:t xml:space="preserve"> </w:t>
      </w:r>
      <w:r w:rsidRPr="00DC2516">
        <w:rPr>
          <w:color w:val="A81815"/>
        </w:rPr>
        <w:t xml:space="preserve">selon les </w:t>
      </w:r>
      <w:r w:rsidR="006762EA" w:rsidRPr="006762EA">
        <w:rPr>
          <w:b/>
          <w:bCs/>
          <w:color w:val="A81815"/>
        </w:rPr>
        <w:t xml:space="preserve">deux </w:t>
      </w:r>
      <w:r w:rsidRPr="006762EA">
        <w:rPr>
          <w:b/>
          <w:bCs/>
          <w:color w:val="A81815"/>
        </w:rPr>
        <w:t>modalités</w:t>
      </w:r>
      <w:r w:rsidRPr="00DC2516">
        <w:rPr>
          <w:color w:val="A81815"/>
        </w:rPr>
        <w:t xml:space="preserve"> fixées par arrêté </w:t>
      </w:r>
      <w:r w:rsidR="00F95338" w:rsidRPr="00DC2516">
        <w:rPr>
          <w:color w:val="A81815"/>
        </w:rPr>
        <w:t>du 28 juin 2021</w:t>
      </w:r>
      <w:r w:rsidR="004473E1" w:rsidRPr="00DC2516">
        <w:rPr>
          <w:color w:val="A81815"/>
        </w:rPr>
        <w:t>,</w:t>
      </w:r>
      <w:r w:rsidR="00A467FD" w:rsidRPr="00DC2516">
        <w:rPr>
          <w:color w:val="A81815"/>
        </w:rPr>
        <w:t xml:space="preserve"> </w:t>
      </w:r>
      <w:r w:rsidR="004473E1" w:rsidRPr="00DC2516">
        <w:rPr>
          <w:color w:val="A81815"/>
        </w:rPr>
        <w:t>à savoir :</w:t>
      </w:r>
    </w:p>
    <w:p w14:paraId="0BD43ABE" w14:textId="35C9A50F" w:rsidR="004473E1" w:rsidRPr="00C60F8F" w:rsidRDefault="00976E6C" w:rsidP="004473E1">
      <w:pPr>
        <w:pStyle w:val="Paragraphedeliste"/>
        <w:numPr>
          <w:ilvl w:val="0"/>
          <w:numId w:val="26"/>
        </w:numPr>
        <w:rPr>
          <w:i/>
          <w:iCs/>
          <w:color w:val="A81815"/>
          <w:u w:val="single"/>
        </w:rPr>
      </w:pPr>
      <w:r w:rsidRPr="00C60F8F">
        <w:rPr>
          <w:i/>
          <w:iCs/>
          <w:color w:val="A81815"/>
          <w:u w:val="single"/>
        </w:rPr>
        <w:t>Articulation code IDCC et code APE</w:t>
      </w:r>
    </w:p>
    <w:p w14:paraId="13CE08CB" w14:textId="7CDCB7E1" w:rsidR="00976E6C" w:rsidRPr="00C60F8F" w:rsidRDefault="00A467FD" w:rsidP="00976E6C">
      <w:pPr>
        <w:rPr>
          <w:color w:val="A81815"/>
        </w:rPr>
      </w:pPr>
      <w:r w:rsidRPr="00C60F8F">
        <w:rPr>
          <w:i/>
          <w:iCs/>
          <w:color w:val="A81815"/>
          <w:u w:val="single"/>
        </w:rPr>
        <w:t>1</w:t>
      </w:r>
      <w:r w:rsidRPr="00C60F8F">
        <w:rPr>
          <w:i/>
          <w:iCs/>
          <w:color w:val="A81815"/>
          <w:u w:val="single"/>
          <w:vertAlign w:val="superscript"/>
        </w:rPr>
        <w:t>ère</w:t>
      </w:r>
      <w:r w:rsidRPr="00C60F8F">
        <w:rPr>
          <w:i/>
          <w:iCs/>
          <w:color w:val="A81815"/>
          <w:u w:val="single"/>
        </w:rPr>
        <w:t xml:space="preserve"> étape</w:t>
      </w:r>
      <w:r w:rsidRPr="00C60F8F">
        <w:rPr>
          <w:color w:val="A81815"/>
        </w:rPr>
        <w:t xml:space="preserve"> : </w:t>
      </w:r>
      <w:r w:rsidRPr="00C60F8F">
        <w:rPr>
          <w:b/>
          <w:bCs/>
          <w:color w:val="A81815"/>
        </w:rPr>
        <w:t>champ d’application du bonus-malus par l’IDCC</w:t>
      </w:r>
      <w:r w:rsidRPr="00C60F8F">
        <w:rPr>
          <w:color w:val="A81815"/>
        </w:rPr>
        <w:t>. I</w:t>
      </w:r>
      <w:r w:rsidR="00976E6C" w:rsidRPr="00C60F8F">
        <w:rPr>
          <w:color w:val="A81815"/>
        </w:rPr>
        <w:t xml:space="preserve">l convient d’identifier </w:t>
      </w:r>
      <w:r w:rsidR="00976E6C" w:rsidRPr="00C60F8F">
        <w:rPr>
          <w:b/>
          <w:bCs/>
          <w:color w:val="A81815"/>
        </w:rPr>
        <w:t>le code IDCC de l’entreprise</w:t>
      </w:r>
      <w:r w:rsidR="00976E6C" w:rsidRPr="00C60F8F">
        <w:rPr>
          <w:color w:val="A81815"/>
        </w:rPr>
        <w:t xml:space="preserve"> afin de déterminer si </w:t>
      </w:r>
      <w:r w:rsidR="00E476F0">
        <w:rPr>
          <w:color w:val="A81815"/>
        </w:rPr>
        <w:t>celle-ci</w:t>
      </w:r>
      <w:r w:rsidR="00976E6C" w:rsidRPr="00C60F8F">
        <w:rPr>
          <w:color w:val="A81815"/>
        </w:rPr>
        <w:t xml:space="preserve"> rentre ou non </w:t>
      </w:r>
      <w:r w:rsidR="00976E6C" w:rsidRPr="00C60F8F">
        <w:rPr>
          <w:b/>
          <w:bCs/>
          <w:color w:val="A81815"/>
        </w:rPr>
        <w:t>dans le champ d’application du bonus-malus</w:t>
      </w:r>
      <w:r w:rsidR="00976E6C" w:rsidRPr="00C60F8F">
        <w:rPr>
          <w:color w:val="A81815"/>
        </w:rPr>
        <w:t xml:space="preserve">. Pour cela, il faut distinguer : </w:t>
      </w:r>
    </w:p>
    <w:p w14:paraId="10D74F00" w14:textId="685E6B7C" w:rsidR="00976E6C" w:rsidRPr="00C60F8F" w:rsidRDefault="00976E6C" w:rsidP="00976E6C">
      <w:pPr>
        <w:pStyle w:val="Paragraphedeliste"/>
        <w:numPr>
          <w:ilvl w:val="1"/>
          <w:numId w:val="26"/>
        </w:numPr>
        <w:rPr>
          <w:color w:val="A81815"/>
        </w:rPr>
      </w:pPr>
      <w:r w:rsidRPr="00C60F8F">
        <w:rPr>
          <w:color w:val="A81815"/>
        </w:rPr>
        <w:t xml:space="preserve">Si l’entreprise applique une convention collective, soit :  </w:t>
      </w:r>
    </w:p>
    <w:p w14:paraId="050BF0A9" w14:textId="56877622" w:rsidR="00976E6C" w:rsidRPr="00C60F8F" w:rsidRDefault="00976E6C" w:rsidP="00976E6C">
      <w:pPr>
        <w:pStyle w:val="Paragraphedeliste"/>
        <w:numPr>
          <w:ilvl w:val="2"/>
          <w:numId w:val="26"/>
        </w:numPr>
        <w:rPr>
          <w:color w:val="A81815"/>
        </w:rPr>
      </w:pPr>
      <w:r w:rsidRPr="00C60F8F">
        <w:rPr>
          <w:color w:val="A81815"/>
        </w:rPr>
        <w:t xml:space="preserve">Puisque l’activité principale de l’entreprise relève de ladite convention ; </w:t>
      </w:r>
    </w:p>
    <w:p w14:paraId="07EB0CFC" w14:textId="166E9BA5" w:rsidR="00976E6C" w:rsidRPr="00C60F8F" w:rsidRDefault="00976E6C" w:rsidP="00976E6C">
      <w:pPr>
        <w:pStyle w:val="Paragraphedeliste"/>
        <w:numPr>
          <w:ilvl w:val="2"/>
          <w:numId w:val="26"/>
        </w:numPr>
        <w:rPr>
          <w:color w:val="A81815"/>
        </w:rPr>
      </w:pPr>
      <w:r w:rsidRPr="00C60F8F">
        <w:rPr>
          <w:color w:val="A81815"/>
        </w:rPr>
        <w:t xml:space="preserve">Par application volontaire ; </w:t>
      </w:r>
    </w:p>
    <w:p w14:paraId="2C55BB4B" w14:textId="23104405" w:rsidR="00976E6C" w:rsidRPr="00C60F8F" w:rsidRDefault="00976E6C" w:rsidP="00976E6C">
      <w:pPr>
        <w:pStyle w:val="Paragraphedeliste"/>
        <w:numPr>
          <w:ilvl w:val="2"/>
          <w:numId w:val="26"/>
        </w:numPr>
        <w:rPr>
          <w:color w:val="A81815"/>
        </w:rPr>
      </w:pPr>
      <w:r w:rsidRPr="00C60F8F">
        <w:rPr>
          <w:color w:val="A81815"/>
        </w:rPr>
        <w:t xml:space="preserve">Par adhésion à ladite convention ; </w:t>
      </w:r>
    </w:p>
    <w:p w14:paraId="420E40C5" w14:textId="6A32B430" w:rsidR="00976E6C" w:rsidRPr="00C60F8F" w:rsidRDefault="00976E6C" w:rsidP="00976E6C">
      <w:pPr>
        <w:pStyle w:val="Paragraphedeliste"/>
        <w:numPr>
          <w:ilvl w:val="0"/>
          <w:numId w:val="33"/>
        </w:numPr>
        <w:rPr>
          <w:color w:val="A81815"/>
        </w:rPr>
      </w:pPr>
      <w:r w:rsidRPr="00C60F8F">
        <w:rPr>
          <w:color w:val="A81815"/>
        </w:rPr>
        <w:t>Le code IDCC correspond à cette convention collective ;</w:t>
      </w:r>
    </w:p>
    <w:p w14:paraId="231CAA1C" w14:textId="135672DA" w:rsidR="00976E6C" w:rsidRPr="00C60F8F" w:rsidRDefault="00976E6C" w:rsidP="00976E6C">
      <w:pPr>
        <w:pStyle w:val="Paragraphedeliste"/>
        <w:numPr>
          <w:ilvl w:val="1"/>
          <w:numId w:val="26"/>
        </w:numPr>
        <w:rPr>
          <w:color w:val="A81815"/>
        </w:rPr>
      </w:pPr>
      <w:r w:rsidRPr="00C60F8F">
        <w:rPr>
          <w:color w:val="A81815"/>
        </w:rPr>
        <w:t>Si l’entreprise applique plusieurs conventions collectives, il convient de rechercher la convention collective à laquelle est associée le plus grand nombre de contrat</w:t>
      </w:r>
      <w:r w:rsidR="003E6024">
        <w:rPr>
          <w:color w:val="A81815"/>
        </w:rPr>
        <w:t>s</w:t>
      </w:r>
      <w:r w:rsidRPr="00C60F8F">
        <w:rPr>
          <w:color w:val="A81815"/>
        </w:rPr>
        <w:t>. Pour cela :</w:t>
      </w:r>
    </w:p>
    <w:p w14:paraId="7C14CB52" w14:textId="40B4D6AF" w:rsidR="00976E6C" w:rsidRPr="00C60F8F" w:rsidRDefault="00976E6C" w:rsidP="00976E6C">
      <w:pPr>
        <w:pStyle w:val="Paragraphedeliste"/>
        <w:numPr>
          <w:ilvl w:val="2"/>
          <w:numId w:val="26"/>
        </w:numPr>
        <w:rPr>
          <w:color w:val="A81815"/>
        </w:rPr>
      </w:pPr>
      <w:r w:rsidRPr="00C60F8F">
        <w:rPr>
          <w:color w:val="A81815"/>
        </w:rPr>
        <w:t xml:space="preserve">Sont pris en compte les contrats de travail en cours d’exécution du </w:t>
      </w:r>
      <w:r w:rsidR="003E6024" w:rsidRPr="00C60F8F">
        <w:rPr>
          <w:color w:val="A81815"/>
        </w:rPr>
        <w:t>1</w:t>
      </w:r>
      <w:r w:rsidR="003E6024" w:rsidRPr="00C60F8F">
        <w:rPr>
          <w:color w:val="A81815"/>
          <w:vertAlign w:val="superscript"/>
        </w:rPr>
        <w:t>er</w:t>
      </w:r>
      <w:r w:rsidR="003E6024">
        <w:rPr>
          <w:color w:val="A81815"/>
        </w:rPr>
        <w:t> </w:t>
      </w:r>
      <w:r w:rsidRPr="00C60F8F">
        <w:rPr>
          <w:color w:val="A81815"/>
        </w:rPr>
        <w:t xml:space="preserve">janvier au 31 décembre 2020 ; </w:t>
      </w:r>
    </w:p>
    <w:p w14:paraId="0F494E40" w14:textId="38B420E0" w:rsidR="00976E6C" w:rsidRPr="00C60F8F" w:rsidRDefault="00976E6C" w:rsidP="00976E6C">
      <w:pPr>
        <w:pStyle w:val="Paragraphedeliste"/>
        <w:numPr>
          <w:ilvl w:val="2"/>
          <w:numId w:val="26"/>
        </w:numPr>
        <w:rPr>
          <w:color w:val="A81815"/>
        </w:rPr>
      </w:pPr>
      <w:r w:rsidRPr="00C60F8F">
        <w:rPr>
          <w:color w:val="A81815"/>
        </w:rPr>
        <w:t>Le nombre de contrats de travail associés à chaque convention collective est pondéré par la durée des contrats.</w:t>
      </w:r>
    </w:p>
    <w:p w14:paraId="60894C5C" w14:textId="3D70733A" w:rsidR="00976E6C" w:rsidRPr="00C60F8F" w:rsidRDefault="00976E6C" w:rsidP="00976E6C">
      <w:pPr>
        <w:pStyle w:val="Paragraphedeliste"/>
        <w:numPr>
          <w:ilvl w:val="0"/>
          <w:numId w:val="33"/>
        </w:numPr>
        <w:rPr>
          <w:color w:val="A81815"/>
        </w:rPr>
      </w:pPr>
      <w:r w:rsidRPr="00C60F8F">
        <w:rPr>
          <w:color w:val="A81815"/>
        </w:rPr>
        <w:t>Le code IDCC correspond à la convention collective concernée par le plus grand nombre de contrat</w:t>
      </w:r>
      <w:r w:rsidR="003E6024">
        <w:rPr>
          <w:color w:val="A81815"/>
        </w:rPr>
        <w:t>s</w:t>
      </w:r>
      <w:r w:rsidRPr="00C60F8F">
        <w:rPr>
          <w:color w:val="A81815"/>
        </w:rPr>
        <w:t xml:space="preserve">. </w:t>
      </w:r>
    </w:p>
    <w:p w14:paraId="54625A71" w14:textId="749CD7DB" w:rsidR="00976E6C" w:rsidRPr="00C60F8F" w:rsidRDefault="00976E6C" w:rsidP="00976E6C">
      <w:pPr>
        <w:rPr>
          <w:color w:val="A81815"/>
        </w:rPr>
      </w:pPr>
      <w:r w:rsidRPr="00C60F8F">
        <w:rPr>
          <w:color w:val="A81815"/>
        </w:rPr>
        <w:t xml:space="preserve">L’arrêté du 28 juin 2021 précise ensuite que le code IDCC applicable est </w:t>
      </w:r>
      <w:r w:rsidRPr="00C60F8F">
        <w:rPr>
          <w:b/>
          <w:bCs/>
          <w:color w:val="A81815"/>
        </w:rPr>
        <w:t>celui indiqué en 2020 par l’employeur en DSN</w:t>
      </w:r>
      <w:r w:rsidRPr="00C60F8F">
        <w:rPr>
          <w:color w:val="A81815"/>
        </w:rPr>
        <w:t xml:space="preserve">. </w:t>
      </w:r>
    </w:p>
    <w:p w14:paraId="664C1EF3" w14:textId="1E013E0E" w:rsidR="00A467FD" w:rsidRPr="00C60F8F" w:rsidRDefault="006762EA" w:rsidP="00976E6C">
      <w:pPr>
        <w:rPr>
          <w:color w:val="A81815"/>
        </w:rPr>
      </w:pPr>
      <w:r>
        <w:rPr>
          <w:color w:val="A81815"/>
        </w:rPr>
        <w:t>Ainsi, l</w:t>
      </w:r>
      <w:r w:rsidR="00A467FD" w:rsidRPr="00C60F8F">
        <w:rPr>
          <w:color w:val="A81815"/>
        </w:rPr>
        <w:t xml:space="preserve">’entreprise </w:t>
      </w:r>
      <w:r w:rsidR="00A467FD" w:rsidRPr="00C60F8F">
        <w:rPr>
          <w:b/>
          <w:bCs/>
          <w:color w:val="A81815"/>
        </w:rPr>
        <w:t>dont le code IDCC est listé à l’annexe 2 de l’arrêté du 28 juin 2021 entre dans le champ d’application du bonus-malus</w:t>
      </w:r>
      <w:r w:rsidR="00A467FD" w:rsidRPr="00C60F8F">
        <w:rPr>
          <w:color w:val="A81815"/>
        </w:rPr>
        <w:t xml:space="preserve">. Toutefois, par </w:t>
      </w:r>
      <w:r w:rsidR="00A467FD" w:rsidRPr="006762EA">
        <w:rPr>
          <w:color w:val="A81815"/>
        </w:rPr>
        <w:t>exception</w:t>
      </w:r>
      <w:r w:rsidR="003E6024">
        <w:rPr>
          <w:color w:val="A81815"/>
        </w:rPr>
        <w:t>,</w:t>
      </w:r>
      <w:r w:rsidR="00A467FD" w:rsidRPr="006762EA">
        <w:rPr>
          <w:color w:val="A81815"/>
        </w:rPr>
        <w:t xml:space="preserve"> les entreprises dont l’objet social est l’insertion par l’activité économique sont exclues du champ d’application.</w:t>
      </w:r>
    </w:p>
    <w:p w14:paraId="149CB294" w14:textId="428BF7AF" w:rsidR="00976E6C" w:rsidRPr="00C60F8F" w:rsidRDefault="00A467FD" w:rsidP="00976E6C">
      <w:pPr>
        <w:rPr>
          <w:b/>
          <w:bCs/>
          <w:color w:val="A81815"/>
        </w:rPr>
      </w:pPr>
      <w:r w:rsidRPr="00C60F8F">
        <w:rPr>
          <w:i/>
          <w:iCs/>
          <w:color w:val="A81815"/>
          <w:u w:val="single"/>
        </w:rPr>
        <w:lastRenderedPageBreak/>
        <w:t>2</w:t>
      </w:r>
      <w:r w:rsidRPr="00C60F8F">
        <w:rPr>
          <w:i/>
          <w:iCs/>
          <w:color w:val="A81815"/>
          <w:u w:val="single"/>
          <w:vertAlign w:val="superscript"/>
        </w:rPr>
        <w:t>ème</w:t>
      </w:r>
      <w:r w:rsidRPr="00C60F8F">
        <w:rPr>
          <w:i/>
          <w:iCs/>
          <w:color w:val="A81815"/>
          <w:u w:val="single"/>
        </w:rPr>
        <w:t xml:space="preserve"> étape</w:t>
      </w:r>
      <w:r w:rsidRPr="00C60F8F">
        <w:rPr>
          <w:color w:val="A81815"/>
        </w:rPr>
        <w:t xml:space="preserve"> : </w:t>
      </w:r>
      <w:r w:rsidRPr="00C60F8F">
        <w:rPr>
          <w:b/>
          <w:bCs/>
          <w:color w:val="A81815"/>
        </w:rPr>
        <w:t>vérification du code APE</w:t>
      </w:r>
      <w:r w:rsidRPr="00C60F8F">
        <w:rPr>
          <w:color w:val="A81815"/>
        </w:rPr>
        <w:t xml:space="preserve">. Lorsque </w:t>
      </w:r>
      <w:r w:rsidRPr="00C60F8F">
        <w:rPr>
          <w:b/>
          <w:bCs/>
          <w:color w:val="A81815"/>
        </w:rPr>
        <w:t xml:space="preserve">le code APE de l’entreprise correspond à un des codes visés à l’annexe 3 de l’arrêté du 28 juin 2021, l’entreprise est soumise au dispositif de bonus-malus. </w:t>
      </w:r>
    </w:p>
    <w:p w14:paraId="2174E752" w14:textId="2B82E62B" w:rsidR="00DC2516" w:rsidRPr="00DC2516" w:rsidRDefault="00DC2516" w:rsidP="00252084">
      <w:pPr>
        <w:pStyle w:val="Paragraphedeliste"/>
        <w:numPr>
          <w:ilvl w:val="0"/>
          <w:numId w:val="26"/>
        </w:numPr>
        <w:rPr>
          <w:color w:val="A81815"/>
        </w:rPr>
      </w:pPr>
      <w:r w:rsidRPr="00DC2516">
        <w:rPr>
          <w:i/>
          <w:iCs/>
          <w:color w:val="A81815"/>
          <w:u w:val="single"/>
        </w:rPr>
        <w:t xml:space="preserve">Code APE mentionné à l’annexe 4 </w:t>
      </w:r>
      <w:r>
        <w:rPr>
          <w:i/>
          <w:iCs/>
          <w:color w:val="A81815"/>
          <w:u w:val="single"/>
        </w:rPr>
        <w:t>de l’arrêté du 28 juin 2021</w:t>
      </w:r>
    </w:p>
    <w:p w14:paraId="34AC6D62" w14:textId="57C4C17B" w:rsidR="00A467FD" w:rsidRPr="00DC2516" w:rsidRDefault="00DC2516" w:rsidP="00DC2516">
      <w:pPr>
        <w:rPr>
          <w:color w:val="A81815"/>
        </w:rPr>
      </w:pPr>
      <w:r w:rsidRPr="00DC2516">
        <w:rPr>
          <w:color w:val="A81815"/>
        </w:rPr>
        <w:t xml:space="preserve">Lorsque l'employeur </w:t>
      </w:r>
      <w:r w:rsidRPr="006762EA">
        <w:rPr>
          <w:b/>
          <w:bCs/>
          <w:color w:val="A81815"/>
        </w:rPr>
        <w:t>n'applique aucune convention collective ou lorsque la majorité des contrats de travail au sein de l'entreprise n'est associée à aucune convention collective</w:t>
      </w:r>
      <w:r w:rsidRPr="00DC2516">
        <w:rPr>
          <w:color w:val="A81815"/>
        </w:rPr>
        <w:t xml:space="preserve">, </w:t>
      </w:r>
      <w:r w:rsidR="00A467FD" w:rsidRPr="00DC2516">
        <w:rPr>
          <w:color w:val="A81815"/>
        </w:rPr>
        <w:t xml:space="preserve">l’entreprise est </w:t>
      </w:r>
      <w:r w:rsidR="00C60F8F" w:rsidRPr="00DC2516">
        <w:rPr>
          <w:color w:val="A81815"/>
        </w:rPr>
        <w:t>affectée</w:t>
      </w:r>
      <w:r w:rsidR="00A467FD" w:rsidRPr="00DC2516">
        <w:rPr>
          <w:color w:val="A81815"/>
        </w:rPr>
        <w:t xml:space="preserve"> dans </w:t>
      </w:r>
      <w:r w:rsidR="00C60F8F" w:rsidRPr="00DC2516">
        <w:rPr>
          <w:color w:val="A81815"/>
        </w:rPr>
        <w:t xml:space="preserve">l’un des secteurs entrant dans </w:t>
      </w:r>
      <w:r w:rsidR="00A467FD" w:rsidRPr="00DC2516">
        <w:rPr>
          <w:color w:val="A81815"/>
        </w:rPr>
        <w:t xml:space="preserve">le champ </w:t>
      </w:r>
      <w:r w:rsidR="00C60F8F" w:rsidRPr="00DC2516">
        <w:rPr>
          <w:color w:val="A81815"/>
        </w:rPr>
        <w:t xml:space="preserve">d’application du dispositif si </w:t>
      </w:r>
      <w:r w:rsidR="00C60F8F" w:rsidRPr="00DC2516">
        <w:rPr>
          <w:b/>
          <w:bCs/>
          <w:color w:val="A81815"/>
        </w:rPr>
        <w:t>son code APE</w:t>
      </w:r>
      <w:r w:rsidR="00C60F8F" w:rsidRPr="00DC2516">
        <w:rPr>
          <w:color w:val="A81815"/>
        </w:rPr>
        <w:t xml:space="preserve"> correspond à l’un des codes </w:t>
      </w:r>
      <w:r w:rsidR="00C60F8F" w:rsidRPr="006762EA">
        <w:rPr>
          <w:b/>
          <w:bCs/>
          <w:color w:val="A81815"/>
        </w:rPr>
        <w:t>mentionnés à</w:t>
      </w:r>
      <w:r w:rsidR="00C60F8F" w:rsidRPr="00DC2516">
        <w:rPr>
          <w:color w:val="A81815"/>
        </w:rPr>
        <w:t xml:space="preserve"> </w:t>
      </w:r>
      <w:r w:rsidR="00C60F8F" w:rsidRPr="00DC2516">
        <w:rPr>
          <w:b/>
          <w:bCs/>
          <w:color w:val="A81815"/>
        </w:rPr>
        <w:t>l’annexe 4 de l’arrêté</w:t>
      </w:r>
      <w:r w:rsidR="00C60F8F" w:rsidRPr="00DC2516">
        <w:rPr>
          <w:color w:val="A81815"/>
        </w:rPr>
        <w:t xml:space="preserve"> précédemment évoqué. </w:t>
      </w:r>
    </w:p>
    <w:p w14:paraId="43463CD8" w14:textId="6FEC3651" w:rsidR="00DC2516" w:rsidRDefault="005E5ADF" w:rsidP="00CE5B71">
      <w:pPr>
        <w:rPr>
          <w:color w:val="A81815"/>
        </w:rPr>
      </w:pPr>
      <w:r>
        <w:t xml:space="preserve">Le décret du 30 mars 2021 introduit </w:t>
      </w:r>
      <w:r w:rsidR="00A11634">
        <w:t>par a</w:t>
      </w:r>
      <w:r>
        <w:t>illeurs une subtilité quant aux employeurs concernés par le dispositif. Il prévoit</w:t>
      </w:r>
      <w:r w:rsidR="00E5160D">
        <w:t>,</w:t>
      </w:r>
      <w:r>
        <w:t xml:space="preserve"> en effet, un différé d’application du dispositif de bonus-malus pour les entreprises relevant des secteurs visés à l’article 50-3-2 du décret de 2019</w:t>
      </w:r>
      <w:r w:rsidR="00FA0B2A">
        <w:t xml:space="preserve"> modifié</w:t>
      </w:r>
      <w:r>
        <w:t xml:space="preserve">, à savoir les entreprises relevant des secteurs dits « S1 ». </w:t>
      </w:r>
      <w:r w:rsidR="00C60F8F" w:rsidRPr="00C60F8F">
        <w:rPr>
          <w:color w:val="A81815"/>
        </w:rPr>
        <w:t xml:space="preserve">L’arrêté du </w:t>
      </w:r>
      <w:r w:rsidR="00C60F8F">
        <w:rPr>
          <w:color w:val="A81815"/>
        </w:rPr>
        <w:t xml:space="preserve">28 juin 2021 </w:t>
      </w:r>
      <w:r w:rsidR="006762EA">
        <w:rPr>
          <w:color w:val="A81815"/>
        </w:rPr>
        <w:t>précise</w:t>
      </w:r>
      <w:r w:rsidR="00C60F8F">
        <w:rPr>
          <w:color w:val="A81815"/>
        </w:rPr>
        <w:t xml:space="preserve"> ces dispositions. </w:t>
      </w:r>
      <w:r w:rsidR="006762EA">
        <w:rPr>
          <w:color w:val="A81815"/>
        </w:rPr>
        <w:t>E</w:t>
      </w:r>
      <w:r w:rsidR="00C60F8F">
        <w:rPr>
          <w:color w:val="A81815"/>
        </w:rPr>
        <w:t>n effet</w:t>
      </w:r>
      <w:r w:rsidR="006762EA">
        <w:rPr>
          <w:color w:val="A81815"/>
        </w:rPr>
        <w:t xml:space="preserve">, </w:t>
      </w:r>
      <w:r w:rsidR="00DC2516" w:rsidRPr="00DC2516">
        <w:rPr>
          <w:b/>
          <w:bCs/>
          <w:color w:val="A81815"/>
        </w:rPr>
        <w:t>sont exclues du dispositif de bonus-malus</w:t>
      </w:r>
      <w:r w:rsidR="00DC2516">
        <w:rPr>
          <w:color w:val="A81815"/>
        </w:rPr>
        <w:t xml:space="preserve"> pour la première période d’emploi, </w:t>
      </w:r>
      <w:r w:rsidR="00C60F8F">
        <w:rPr>
          <w:color w:val="A81815"/>
        </w:rPr>
        <w:t xml:space="preserve">les </w:t>
      </w:r>
      <w:r w:rsidR="00C60F8F" w:rsidRPr="00DC2516">
        <w:rPr>
          <w:color w:val="A81815"/>
        </w:rPr>
        <w:t xml:space="preserve">entreprises </w:t>
      </w:r>
      <w:r w:rsidR="00DC2516">
        <w:rPr>
          <w:color w:val="A81815"/>
        </w:rPr>
        <w:t>dont :</w:t>
      </w:r>
    </w:p>
    <w:p w14:paraId="07113534" w14:textId="5689988B" w:rsidR="00C60F8F" w:rsidRPr="00DC2516" w:rsidRDefault="00C60F8F" w:rsidP="00C60F8F">
      <w:pPr>
        <w:pStyle w:val="Paragraphedeliste"/>
        <w:numPr>
          <w:ilvl w:val="0"/>
          <w:numId w:val="26"/>
        </w:numPr>
        <w:rPr>
          <w:color w:val="A81815"/>
        </w:rPr>
      </w:pPr>
      <w:proofErr w:type="gramStart"/>
      <w:r w:rsidRPr="00DC2516">
        <w:rPr>
          <w:color w:val="A81815"/>
        </w:rPr>
        <w:t>le</w:t>
      </w:r>
      <w:proofErr w:type="gramEnd"/>
      <w:r w:rsidRPr="00DC2516">
        <w:rPr>
          <w:color w:val="A81815"/>
        </w:rPr>
        <w:t xml:space="preserve"> </w:t>
      </w:r>
      <w:r w:rsidRPr="00DC2516">
        <w:rPr>
          <w:b/>
          <w:bCs/>
          <w:color w:val="A81815"/>
        </w:rPr>
        <w:t>code IDCC</w:t>
      </w:r>
      <w:r w:rsidRPr="00DC2516">
        <w:rPr>
          <w:color w:val="A81815"/>
        </w:rPr>
        <w:t xml:space="preserve"> (déterminé conformément à ce qui a été vu précédemment) et le </w:t>
      </w:r>
      <w:r w:rsidRPr="00DC2516">
        <w:rPr>
          <w:b/>
          <w:bCs/>
          <w:color w:val="A81815"/>
        </w:rPr>
        <w:t>code APE</w:t>
      </w:r>
      <w:r w:rsidRPr="00DC2516">
        <w:rPr>
          <w:color w:val="A81815"/>
        </w:rPr>
        <w:t xml:space="preserve"> </w:t>
      </w:r>
      <w:r w:rsidR="00DC2516">
        <w:rPr>
          <w:color w:val="A81815"/>
        </w:rPr>
        <w:t>de l’entreprise sont</w:t>
      </w:r>
      <w:r w:rsidRPr="00DC2516">
        <w:rPr>
          <w:color w:val="A81815"/>
        </w:rPr>
        <w:t xml:space="preserve"> listé</w:t>
      </w:r>
      <w:r w:rsidR="00DC2516">
        <w:rPr>
          <w:color w:val="A81815"/>
        </w:rPr>
        <w:t>s</w:t>
      </w:r>
      <w:r w:rsidRPr="00DC2516">
        <w:rPr>
          <w:color w:val="A81815"/>
        </w:rPr>
        <w:t xml:space="preserve"> en </w:t>
      </w:r>
      <w:r w:rsidRPr="00DC2516">
        <w:rPr>
          <w:b/>
          <w:bCs/>
          <w:color w:val="A81815"/>
        </w:rPr>
        <w:t>annexe 5</w:t>
      </w:r>
      <w:r w:rsidRPr="00DC2516">
        <w:rPr>
          <w:color w:val="A81815"/>
        </w:rPr>
        <w:t xml:space="preserve"> du présent décret ; </w:t>
      </w:r>
    </w:p>
    <w:p w14:paraId="6D58B0E2" w14:textId="36506A50" w:rsidR="00C60F8F" w:rsidRPr="00DC2516" w:rsidRDefault="00C60F8F" w:rsidP="00C60F8F">
      <w:pPr>
        <w:pStyle w:val="Paragraphedeliste"/>
        <w:numPr>
          <w:ilvl w:val="0"/>
          <w:numId w:val="26"/>
        </w:numPr>
        <w:rPr>
          <w:color w:val="A81815"/>
        </w:rPr>
      </w:pPr>
      <w:proofErr w:type="gramStart"/>
      <w:r w:rsidRPr="00DC2516">
        <w:rPr>
          <w:b/>
          <w:bCs/>
          <w:color w:val="A81815"/>
        </w:rPr>
        <w:t>l’activité</w:t>
      </w:r>
      <w:proofErr w:type="gramEnd"/>
      <w:r w:rsidRPr="00DC2516">
        <w:rPr>
          <w:b/>
          <w:bCs/>
          <w:color w:val="A81815"/>
        </w:rPr>
        <w:t xml:space="preserve"> principale</w:t>
      </w:r>
      <w:r w:rsidRPr="00DC2516">
        <w:rPr>
          <w:color w:val="A81815"/>
        </w:rPr>
        <w:t xml:space="preserve"> est mentionnée également à cette </w:t>
      </w:r>
      <w:r w:rsidRPr="00DC2516">
        <w:rPr>
          <w:b/>
          <w:bCs/>
          <w:color w:val="A81815"/>
        </w:rPr>
        <w:t>annexe 5</w:t>
      </w:r>
      <w:r w:rsidRPr="00DC2516">
        <w:rPr>
          <w:color w:val="A81815"/>
        </w:rPr>
        <w:t xml:space="preserve"> ; </w:t>
      </w:r>
    </w:p>
    <w:p w14:paraId="39ABE071" w14:textId="53ECB3D7" w:rsidR="00C60F8F" w:rsidRPr="00DC2516" w:rsidRDefault="00C60F8F" w:rsidP="00DC2516">
      <w:pPr>
        <w:pStyle w:val="Paragraphedeliste"/>
        <w:numPr>
          <w:ilvl w:val="0"/>
          <w:numId w:val="26"/>
        </w:numPr>
        <w:rPr>
          <w:color w:val="A81815"/>
        </w:rPr>
      </w:pPr>
      <w:proofErr w:type="gramStart"/>
      <w:r w:rsidRPr="00DC2516">
        <w:rPr>
          <w:color w:val="A81815"/>
        </w:rPr>
        <w:t>le</w:t>
      </w:r>
      <w:proofErr w:type="gramEnd"/>
      <w:r w:rsidRPr="00DC2516">
        <w:rPr>
          <w:color w:val="A81815"/>
        </w:rPr>
        <w:t xml:space="preserve"> </w:t>
      </w:r>
      <w:r w:rsidRPr="00DC2516">
        <w:rPr>
          <w:b/>
          <w:bCs/>
          <w:color w:val="A81815"/>
        </w:rPr>
        <w:t>code APE de l’entreprise est mentionné à l’annexe 6</w:t>
      </w:r>
      <w:r w:rsidRPr="00DC2516">
        <w:rPr>
          <w:color w:val="A81815"/>
        </w:rPr>
        <w:t xml:space="preserve"> de l’arrêté</w:t>
      </w:r>
      <w:r w:rsidR="00DC2516">
        <w:rPr>
          <w:color w:val="A81815"/>
        </w:rPr>
        <w:t xml:space="preserve">, </w:t>
      </w:r>
      <w:r w:rsidR="00DC2516" w:rsidRPr="00DC2516">
        <w:rPr>
          <w:b/>
          <w:bCs/>
          <w:color w:val="A81815"/>
        </w:rPr>
        <w:t>lorsque l’entreprise n’a pas de convention collective applicable ou lorsque le plus grand nombre de contrat</w:t>
      </w:r>
      <w:r w:rsidR="00E5160D">
        <w:rPr>
          <w:b/>
          <w:bCs/>
          <w:color w:val="A81815"/>
        </w:rPr>
        <w:t>s</w:t>
      </w:r>
      <w:r w:rsidR="00DC2516" w:rsidRPr="00DC2516">
        <w:rPr>
          <w:b/>
          <w:bCs/>
          <w:color w:val="A81815"/>
        </w:rPr>
        <w:t xml:space="preserve"> dans l’entreprise n’est associé à aucune convention collective</w:t>
      </w:r>
      <w:r w:rsidR="00DC2516" w:rsidRPr="00DC2516">
        <w:rPr>
          <w:color w:val="A81815"/>
        </w:rPr>
        <w:t xml:space="preserve">. </w:t>
      </w:r>
    </w:p>
    <w:p w14:paraId="4667C054" w14:textId="2ED4D241" w:rsidR="00A11634" w:rsidRPr="007741F6" w:rsidRDefault="00A11634" w:rsidP="00A11634">
      <w:pPr>
        <w:pStyle w:val="Titre1"/>
        <w:ind w:left="708"/>
        <w:rPr>
          <w:color w:val="F59E33"/>
        </w:rPr>
      </w:pPr>
      <w:r w:rsidRPr="00A11634">
        <w:rPr>
          <w:color w:val="F59E33"/>
        </w:rPr>
        <w:t>CALCUL DU TAUX DE CONTRIBUTION D’ASSURANCE CHOMAGE</w:t>
      </w:r>
    </w:p>
    <w:p w14:paraId="445D3284" w14:textId="3C78DA8B" w:rsidR="00A11634" w:rsidRDefault="00A11634" w:rsidP="00CE5B71">
      <w:r>
        <w:t>La formule de calcul retenue pour appliquer la modulation du taux de contribution des employeurs à l’assurance chômage est la suivante :</w:t>
      </w:r>
    </w:p>
    <w:p w14:paraId="59B49A20" w14:textId="5EC45B1F" w:rsidR="00433E44" w:rsidRPr="00433E44" w:rsidRDefault="00433E44" w:rsidP="005E5ADF">
      <w:pPr>
        <w:rPr>
          <w:rFonts w:eastAsiaTheme="minorEastAsia"/>
        </w:rPr>
      </w:pPr>
      <m:oMathPara>
        <m:oMath>
          <m:r>
            <w:rPr>
              <w:rFonts w:ascii="Cambria Math" w:hAnsi="Cambria Math"/>
            </w:rPr>
            <m:t xml:space="preserve">taux de contribution= </m:t>
          </m:r>
          <m:f>
            <m:fPr>
              <m:ctrlPr>
                <w:rPr>
                  <w:rFonts w:ascii="Cambria Math" w:hAnsi="Cambria Math"/>
                  <w:i/>
                </w:rPr>
              </m:ctrlPr>
            </m:fPr>
            <m:num>
              <m:r>
                <w:rPr>
                  <w:rFonts w:ascii="Cambria Math" w:hAnsi="Cambria Math"/>
                </w:rPr>
                <m:t xml:space="preserve">taux de séparation de </m:t>
              </m:r>
              <m:sSup>
                <m:sSupPr>
                  <m:ctrlPr>
                    <w:rPr>
                      <w:rFonts w:ascii="Cambria Math" w:hAnsi="Cambria Math"/>
                      <w:i/>
                    </w:rPr>
                  </m:ctrlPr>
                </m:sSupPr>
                <m:e>
                  <m:r>
                    <w:rPr>
                      <w:rFonts w:ascii="Cambria Math" w:hAnsi="Cambria Math"/>
                    </w:rPr>
                    <m:t>l</m:t>
                  </m:r>
                </m:e>
                <m:sup>
                  <m:r>
                    <w:rPr>
                      <w:rFonts w:ascii="Cambria Math" w:hAnsi="Cambria Math"/>
                    </w:rPr>
                    <m:t>'</m:t>
                  </m:r>
                </m:sup>
              </m:sSup>
              <m:r>
                <w:rPr>
                  <w:rFonts w:ascii="Cambria Math" w:hAnsi="Cambria Math"/>
                </w:rPr>
                <m:t>entreprise</m:t>
              </m:r>
            </m:num>
            <m:den>
              <m:r>
                <w:rPr>
                  <w:rFonts w:ascii="Cambria Math" w:hAnsi="Cambria Math"/>
                </w:rPr>
                <m:t>taux de séparation médian du secteur</m:t>
              </m:r>
            </m:den>
          </m:f>
          <m:r>
            <w:rPr>
              <w:rFonts w:ascii="Cambria Math" w:hAnsi="Cambria Math"/>
            </w:rPr>
            <m:t>×1,46+2,59</m:t>
          </m:r>
        </m:oMath>
      </m:oMathPara>
    </w:p>
    <w:p w14:paraId="69E38515" w14:textId="3526D464" w:rsidR="00433E44" w:rsidRDefault="00A11634" w:rsidP="005E5ADF">
      <w:pPr>
        <w:rPr>
          <w:rFonts w:eastAsiaTheme="minorEastAsia"/>
        </w:rPr>
      </w:pPr>
      <w:r>
        <w:rPr>
          <w:rFonts w:eastAsiaTheme="minorEastAsia"/>
        </w:rPr>
        <w:t>Pour parvenir à cette équation, d</w:t>
      </w:r>
      <w:r w:rsidR="00FA0B2A">
        <w:rPr>
          <w:rFonts w:eastAsiaTheme="minorEastAsia"/>
        </w:rPr>
        <w:t>ivers</w:t>
      </w:r>
      <w:r w:rsidR="00433E44">
        <w:rPr>
          <w:rFonts w:eastAsiaTheme="minorEastAsia"/>
        </w:rPr>
        <w:t xml:space="preserve"> éléments de calcul</w:t>
      </w:r>
      <w:r>
        <w:rPr>
          <w:rFonts w:eastAsiaTheme="minorEastAsia"/>
        </w:rPr>
        <w:t xml:space="preserve"> sont déterminés comme suit</w:t>
      </w:r>
      <w:r w:rsidR="00433E44">
        <w:rPr>
          <w:rFonts w:eastAsiaTheme="minorEastAsia"/>
        </w:rPr>
        <w:t xml:space="preserve"> : </w:t>
      </w:r>
    </w:p>
    <w:p w14:paraId="50DC27DF" w14:textId="1FEDF700" w:rsidR="00433E44" w:rsidRPr="00433E44" w:rsidRDefault="00433E44" w:rsidP="00433E44">
      <w:pPr>
        <w:rPr>
          <w:rFonts w:eastAsiaTheme="minorEastAsia"/>
        </w:rPr>
      </w:pPr>
      <m:oMathPara>
        <m:oMath>
          <m:r>
            <w:rPr>
              <w:rFonts w:ascii="Cambria Math" w:eastAsiaTheme="minorEastAsia" w:hAnsi="Cambria Math"/>
            </w:rPr>
            <m:t xml:space="preserve">Taux de séparation de </m:t>
          </m:r>
          <m:sSup>
            <m:sSupPr>
              <m:ctrlPr>
                <w:rPr>
                  <w:rFonts w:ascii="Cambria Math" w:eastAsiaTheme="minorEastAsia" w:hAnsi="Cambria Math"/>
                  <w:i/>
                </w:rPr>
              </m:ctrlPr>
            </m:sSupPr>
            <m:e>
              <m:r>
                <w:rPr>
                  <w:rFonts w:ascii="Cambria Math" w:eastAsiaTheme="minorEastAsia" w:hAnsi="Cambria Math"/>
                </w:rPr>
                <m:t>l</m:t>
              </m:r>
            </m:e>
            <m:sup>
              <m:r>
                <w:rPr>
                  <w:rFonts w:ascii="Cambria Math" w:eastAsiaTheme="minorEastAsia" w:hAnsi="Cambria Math"/>
                </w:rPr>
                <m:t>'</m:t>
              </m:r>
            </m:sup>
          </m:sSup>
          <m:r>
            <w:rPr>
              <w:rFonts w:ascii="Cambria Math" w:eastAsiaTheme="minorEastAsia" w:hAnsi="Cambria Math"/>
            </w:rPr>
            <m:t>entreprise=</m:t>
          </m:r>
          <m:f>
            <m:fPr>
              <m:ctrlPr>
                <w:rPr>
                  <w:rFonts w:ascii="Cambria Math" w:eastAsiaTheme="minorEastAsia" w:hAnsi="Cambria Math"/>
                  <w:i/>
                </w:rPr>
              </m:ctrlPr>
            </m:fPr>
            <m:num>
              <m:r>
                <w:rPr>
                  <w:rFonts w:ascii="Cambria Math" w:eastAsiaTheme="minorEastAsia" w:hAnsi="Cambria Math"/>
                </w:rPr>
                <m:t>nombre de séparation imputées à l'entreprise</m:t>
              </m:r>
            </m:num>
            <m:den>
              <m:r>
                <w:rPr>
                  <w:rFonts w:ascii="Cambria Math" w:eastAsiaTheme="minorEastAsia" w:hAnsi="Cambria Math"/>
                </w:rPr>
                <m:t>effectif de l'entreprise</m:t>
              </m:r>
            </m:den>
          </m:f>
        </m:oMath>
      </m:oMathPara>
    </w:p>
    <w:p w14:paraId="23D864A1" w14:textId="7FEB854E" w:rsidR="00A11634" w:rsidRDefault="00433E44" w:rsidP="00433E44">
      <w:pPr>
        <w:rPr>
          <w:rFonts w:eastAsiaTheme="minorEastAsia"/>
        </w:rPr>
      </w:pPr>
      <w:r>
        <w:rPr>
          <w:rFonts w:eastAsiaTheme="minorEastAsia"/>
        </w:rPr>
        <w:t xml:space="preserve">Le </w:t>
      </w:r>
      <w:r w:rsidRPr="00C87A39">
        <w:rPr>
          <w:rFonts w:eastAsiaTheme="minorEastAsia"/>
          <w:u w:val="single"/>
        </w:rPr>
        <w:t>nombre de séparation imputées à l’entreprise</w:t>
      </w:r>
      <w:r>
        <w:rPr>
          <w:rFonts w:eastAsiaTheme="minorEastAsia"/>
        </w:rPr>
        <w:t xml:space="preserve"> correspond au nombre de fins de contrat de travail et de missions d’intérim </w:t>
      </w:r>
      <w:r w:rsidR="00E94D34">
        <w:rPr>
          <w:rFonts w:eastAsiaTheme="minorEastAsia"/>
        </w:rPr>
        <w:t>ayant donné lieu à d’une inscription à Pôle emploi</w:t>
      </w:r>
      <w:r>
        <w:rPr>
          <w:rFonts w:eastAsiaTheme="minorEastAsia"/>
        </w:rPr>
        <w:t xml:space="preserve"> dans les 3 mois. Ainsi, le QR du ministère du travail précise qu</w:t>
      </w:r>
      <w:r w:rsidR="00C87A39">
        <w:rPr>
          <w:rFonts w:eastAsiaTheme="minorEastAsia"/>
        </w:rPr>
        <w:t xml:space="preserve">’un taux de séparation de 150% équivaut </w:t>
      </w:r>
      <w:r w:rsidR="00C87A39">
        <w:rPr>
          <w:rFonts w:eastAsiaTheme="minorEastAsia"/>
        </w:rPr>
        <w:lastRenderedPageBreak/>
        <w:t xml:space="preserve">à 150 fins de contrat donnant lieu à inscription à Pôle emploi dans une entreprise de 100 salariés. </w:t>
      </w:r>
    </w:p>
    <w:p w14:paraId="54AE741B" w14:textId="15F69A36" w:rsidR="00C87A39" w:rsidRPr="00433E44" w:rsidRDefault="00FA0B2A" w:rsidP="00433E44">
      <w:pPr>
        <w:rPr>
          <w:rFonts w:eastAsiaTheme="minorEastAsia"/>
        </w:rPr>
      </w:pPr>
      <w:r>
        <w:rPr>
          <w:rFonts w:eastAsiaTheme="minorEastAsia"/>
        </w:rPr>
        <w:t xml:space="preserve">A noter par ailleurs que le nombre de séparation se détermine au niveau de l’entreprise et non </w:t>
      </w:r>
      <w:r w:rsidR="00A11634">
        <w:rPr>
          <w:rFonts w:eastAsiaTheme="minorEastAsia"/>
        </w:rPr>
        <w:t>de l’</w:t>
      </w:r>
      <w:r>
        <w:rPr>
          <w:rFonts w:eastAsiaTheme="minorEastAsia"/>
        </w:rPr>
        <w:t xml:space="preserve">établissement. </w:t>
      </w:r>
    </w:p>
    <w:p w14:paraId="78048C80" w14:textId="20C0BA0F" w:rsidR="00433E44" w:rsidRDefault="00A11634" w:rsidP="00433E44">
      <w:r>
        <w:t>Pour déterminer le nombre de séparation, t</w:t>
      </w:r>
      <w:r w:rsidR="00C87A39">
        <w:t>outes les fins de contrats sont prises en compte, à l’exception :</w:t>
      </w:r>
    </w:p>
    <w:p w14:paraId="29918213" w14:textId="50FB669B" w:rsidR="00C87A39" w:rsidRDefault="00C87A39" w:rsidP="00C87A39">
      <w:pPr>
        <w:pStyle w:val="Paragraphedeliste"/>
        <w:numPr>
          <w:ilvl w:val="0"/>
          <w:numId w:val="26"/>
        </w:numPr>
      </w:pPr>
      <w:r>
        <w:t>Des démissions ;</w:t>
      </w:r>
    </w:p>
    <w:p w14:paraId="00137DE0" w14:textId="58914BA5" w:rsidR="00C87A39" w:rsidRDefault="00C87A39" w:rsidP="00C87A39">
      <w:pPr>
        <w:pStyle w:val="Paragraphedeliste"/>
        <w:numPr>
          <w:ilvl w:val="0"/>
          <w:numId w:val="26"/>
        </w:numPr>
      </w:pPr>
      <w:r>
        <w:t xml:space="preserve">Des fins de contrat d’apprentissage et de professionnalisation ; </w:t>
      </w:r>
    </w:p>
    <w:p w14:paraId="1C2A3DDE" w14:textId="4AB17074" w:rsidR="00C87A39" w:rsidRDefault="00C87A39" w:rsidP="00020A77">
      <w:pPr>
        <w:pStyle w:val="Paragraphedeliste"/>
        <w:numPr>
          <w:ilvl w:val="0"/>
          <w:numId w:val="26"/>
        </w:numPr>
      </w:pPr>
      <w:r>
        <w:t>Des fins de contrat</w:t>
      </w:r>
      <w:r w:rsidR="00E5160D">
        <w:t>s</w:t>
      </w:r>
      <w:r>
        <w:t xml:space="preserve"> d’insertion conclus par les structures de l’insertion par l’activité économique (IAE) ou les fins de contrats uniques d’insertion (CUI) ; </w:t>
      </w:r>
    </w:p>
    <w:p w14:paraId="590FEB65" w14:textId="24329054" w:rsidR="00C87A39" w:rsidRDefault="00C87A39" w:rsidP="00E06137">
      <w:pPr>
        <w:pStyle w:val="Paragraphedeliste"/>
        <w:numPr>
          <w:ilvl w:val="0"/>
          <w:numId w:val="26"/>
        </w:numPr>
      </w:pPr>
      <w:r w:rsidRPr="00C87A39">
        <w:rPr>
          <w:rFonts w:ascii="Arial" w:hAnsi="Arial" w:cs="Arial"/>
        </w:rPr>
        <w:t> </w:t>
      </w:r>
      <w:r w:rsidR="00E5160D">
        <w:rPr>
          <w:rFonts w:ascii="Arial" w:hAnsi="Arial" w:cs="Arial"/>
        </w:rPr>
        <w:t>D</w:t>
      </w:r>
      <w:r w:rsidR="00E5160D">
        <w:t xml:space="preserve">es </w:t>
      </w:r>
      <w:r>
        <w:t xml:space="preserve">fins de mission d’intérim concernant des travailleurs intérimaires employés par une entreprise de travail temporaire d’insertion, des travailleurs intérimaires bénéficiaires de l’obligation d’emploi des travailleurs handicapés (OETH), des travailleurs intérimaires employés par une entreprise adaptée de travail temporaire ou des travailleurs intérimaires en contrat à durée indéterminée intérimaire. </w:t>
      </w:r>
    </w:p>
    <w:p w14:paraId="48B9E034" w14:textId="7165E774" w:rsidR="00433E44" w:rsidRPr="006762EA" w:rsidRDefault="00C87A39" w:rsidP="00433E44">
      <w:r w:rsidRPr="00C87A39">
        <w:rPr>
          <w:u w:val="single"/>
        </w:rPr>
        <w:t>L’effectif</w:t>
      </w:r>
      <w:r>
        <w:t xml:space="preserve"> pris en compte est déterminé selon les modalités de décompte prévues à l’article L</w:t>
      </w:r>
      <w:r w:rsidR="00E5160D">
        <w:t>.</w:t>
      </w:r>
      <w:r w:rsidRPr="006762EA">
        <w:t xml:space="preserve">130-1 du Code de la sécurité sociale. </w:t>
      </w:r>
    </w:p>
    <w:p w14:paraId="10F567B9" w14:textId="6C5D6E9D" w:rsidR="00C87A39" w:rsidRDefault="00C87A39" w:rsidP="00433E44">
      <w:r w:rsidRPr="006762EA">
        <w:t xml:space="preserve">Enfin, le </w:t>
      </w:r>
      <w:r w:rsidRPr="006762EA">
        <w:rPr>
          <w:u w:val="single"/>
        </w:rPr>
        <w:t>taux de séparation médian du secteur</w:t>
      </w:r>
      <w:r w:rsidRPr="006762EA">
        <w:t xml:space="preserve"> correspond à la médiane des taux de séparation de l’ensemble des entreprises du secteur pondéré</w:t>
      </w:r>
      <w:r w:rsidR="00E5160D">
        <w:t>e</w:t>
      </w:r>
      <w:r w:rsidRPr="006762EA">
        <w:t xml:space="preserve"> par la masse salariale. </w:t>
      </w:r>
      <w:r w:rsidR="00FA0B2A" w:rsidRPr="006762EA">
        <w:t>Il est déterminé chaque année par arrêté du ministre chargé de l’emploi.</w:t>
      </w:r>
      <w:r w:rsidR="00FA0B2A">
        <w:t xml:space="preserve"> </w:t>
      </w:r>
    </w:p>
    <w:p w14:paraId="5DDD93EC" w14:textId="0DA568CE" w:rsidR="00433E44" w:rsidRDefault="00A11634" w:rsidP="00433E44">
      <w:r>
        <w:t>Pour conclure</w:t>
      </w:r>
      <w:r w:rsidR="00FA0B2A">
        <w:t>, l</w:t>
      </w:r>
      <w:r w:rsidR="00433E44">
        <w:t xml:space="preserve">e </w:t>
      </w:r>
      <w:r w:rsidR="00433E44">
        <w:rPr>
          <w:b/>
          <w:bCs/>
        </w:rPr>
        <w:t>taux d’assurance chômage</w:t>
      </w:r>
      <w:r w:rsidR="00433E44">
        <w:t xml:space="preserve"> applicable dépend donc des autres entreprises d’un même secteur, ainsi : </w:t>
      </w:r>
    </w:p>
    <w:p w14:paraId="1880AAF0" w14:textId="77777777" w:rsidR="00433E44" w:rsidRDefault="00433E44" w:rsidP="00433E44">
      <w:pPr>
        <w:pStyle w:val="Paragraphedeliste"/>
        <w:numPr>
          <w:ilvl w:val="0"/>
          <w:numId w:val="28"/>
        </w:numPr>
        <w:spacing w:before="0" w:beforeAutospacing="0" w:after="160" w:afterAutospacing="0" w:line="256" w:lineRule="auto"/>
      </w:pPr>
      <w:proofErr w:type="gramStart"/>
      <w:r>
        <w:t>si</w:t>
      </w:r>
      <w:proofErr w:type="gramEnd"/>
      <w:r>
        <w:t xml:space="preserve"> le taux de séparation de l’entreprise est inférieur au taux de séparation médian du secteur, l’entreprise sera en bonus ;</w:t>
      </w:r>
    </w:p>
    <w:p w14:paraId="1B2A89BD" w14:textId="77777777" w:rsidR="00433E44" w:rsidRDefault="00433E44" w:rsidP="00433E44">
      <w:pPr>
        <w:pStyle w:val="Paragraphedeliste"/>
        <w:numPr>
          <w:ilvl w:val="0"/>
          <w:numId w:val="28"/>
        </w:numPr>
        <w:spacing w:before="0" w:beforeAutospacing="0" w:after="160" w:afterAutospacing="0" w:line="256" w:lineRule="auto"/>
      </w:pPr>
      <w:proofErr w:type="gramStart"/>
      <w:r>
        <w:t>si</w:t>
      </w:r>
      <w:proofErr w:type="gramEnd"/>
      <w:r>
        <w:t xml:space="preserve"> le taux de séparation de l’entreprise est supérieur au taux de séparation médian du secteur, l’entreprise sera en malus ;</w:t>
      </w:r>
    </w:p>
    <w:p w14:paraId="0E94ADB3" w14:textId="1DB26E65" w:rsidR="00CE5B71" w:rsidRDefault="00433E44" w:rsidP="00CE5B71">
      <w:pPr>
        <w:pStyle w:val="Paragraphedeliste"/>
        <w:numPr>
          <w:ilvl w:val="0"/>
          <w:numId w:val="28"/>
        </w:numPr>
        <w:spacing w:before="0" w:beforeAutospacing="0" w:after="160" w:afterAutospacing="0" w:line="256" w:lineRule="auto"/>
      </w:pPr>
      <w:proofErr w:type="gramStart"/>
      <w:r>
        <w:t>si</w:t>
      </w:r>
      <w:proofErr w:type="gramEnd"/>
      <w:r>
        <w:t xml:space="preserve"> le taux de séparation de l’entreprise est égal au taux de séparation médian du secteur, l’entreprise appliquera le taux de contribution de référence (4,05 %).</w:t>
      </w:r>
    </w:p>
    <w:p w14:paraId="13C57F7D" w14:textId="404855CD" w:rsidR="00A11634" w:rsidRPr="007741F6" w:rsidRDefault="00A11634" w:rsidP="00544994">
      <w:pPr>
        <w:pStyle w:val="Titre1"/>
        <w:ind w:left="709"/>
        <w:rPr>
          <w:color w:val="F59E33"/>
        </w:rPr>
      </w:pPr>
      <w:r w:rsidRPr="00A11634">
        <w:rPr>
          <w:color w:val="F59E33"/>
        </w:rPr>
        <w:t xml:space="preserve">PERIODE DE </w:t>
      </w:r>
      <w:r w:rsidRPr="007453E6">
        <w:rPr>
          <w:color w:val="F59E33"/>
        </w:rPr>
        <w:t>REFERENCE</w:t>
      </w:r>
      <w:r w:rsidRPr="00A11634">
        <w:rPr>
          <w:color w:val="F59E33"/>
        </w:rPr>
        <w:t xml:space="preserve"> ET </w:t>
      </w:r>
      <w:r>
        <w:rPr>
          <w:color w:val="F59E33"/>
        </w:rPr>
        <w:t xml:space="preserve">DEBUT </w:t>
      </w:r>
      <w:r w:rsidRPr="00A11634">
        <w:rPr>
          <w:color w:val="F59E33"/>
        </w:rPr>
        <w:t>APPLICATION DU DISPOSITIF</w:t>
      </w:r>
    </w:p>
    <w:p w14:paraId="4C1F0A89" w14:textId="3C6DDD3E" w:rsidR="003D007F" w:rsidRDefault="003D007F" w:rsidP="00CE5B71">
      <w:r>
        <w:t xml:space="preserve">La </w:t>
      </w:r>
      <w:r w:rsidRPr="00A11634">
        <w:rPr>
          <w:b/>
          <w:bCs/>
        </w:rPr>
        <w:t>période de référence</w:t>
      </w:r>
      <w:r>
        <w:t xml:space="preserve"> pour calculer le taux de séparation du secteur est désormais </w:t>
      </w:r>
      <w:r w:rsidRPr="00A11634">
        <w:rPr>
          <w:b/>
          <w:bCs/>
        </w:rPr>
        <w:t>alignée</w:t>
      </w:r>
      <w:r>
        <w:t xml:space="preserve"> sur la période de référence du taux de séparation de l’entreprise. </w:t>
      </w:r>
    </w:p>
    <w:p w14:paraId="4EB21E17" w14:textId="743A0EF8" w:rsidR="003D007F" w:rsidRDefault="003D007F" w:rsidP="00CE5B71">
      <w:r>
        <w:t>Cette période de référence sera comprise entre le 1</w:t>
      </w:r>
      <w:r w:rsidRPr="006F28B9">
        <w:rPr>
          <w:vertAlign w:val="superscript"/>
        </w:rPr>
        <w:t>er</w:t>
      </w:r>
      <w:r>
        <w:t xml:space="preserve"> janvier de l’année N-4 et le 31 décembre de l’année N-2.</w:t>
      </w:r>
    </w:p>
    <w:p w14:paraId="725D35A7" w14:textId="63796D7D" w:rsidR="003D007F" w:rsidRPr="00A11634" w:rsidRDefault="003D007F" w:rsidP="00CE5B71">
      <w:pPr>
        <w:rPr>
          <w:b/>
          <w:bCs/>
        </w:rPr>
      </w:pPr>
      <w:r>
        <w:lastRenderedPageBreak/>
        <w:t>A titre transitoire et pour tenir compte des effets de la crise sanitaire sur l’ensemble des entreprises, le décret du 30 mars 2021 prévoit que la première période de référence sera fixée exceptionnellement sur deux années civiles</w:t>
      </w:r>
      <w:r w:rsidR="00A11634">
        <w:t xml:space="preserve"> glissantes</w:t>
      </w:r>
      <w:r>
        <w:t xml:space="preserve">, </w:t>
      </w:r>
      <w:r w:rsidRPr="00A11634">
        <w:rPr>
          <w:b/>
          <w:bCs/>
        </w:rPr>
        <w:t>à savoir du 1</w:t>
      </w:r>
      <w:r w:rsidRPr="00A11634">
        <w:rPr>
          <w:b/>
          <w:bCs/>
          <w:vertAlign w:val="superscript"/>
        </w:rPr>
        <w:t>er</w:t>
      </w:r>
      <w:r w:rsidRPr="00A11634">
        <w:rPr>
          <w:b/>
          <w:bCs/>
        </w:rPr>
        <w:t xml:space="preserve"> juillet 2021 au 30 juin 2022. </w:t>
      </w:r>
    </w:p>
    <w:p w14:paraId="5F90A89F" w14:textId="71C0468E" w:rsidR="003D007F" w:rsidRDefault="003D007F" w:rsidP="00CE5B71">
      <w:r>
        <w:t xml:space="preserve">La première application de la modulation commencera à s’appliquer </w:t>
      </w:r>
      <w:r w:rsidRPr="00A11634">
        <w:rPr>
          <w:b/>
          <w:bCs/>
        </w:rPr>
        <w:t>le 1</w:t>
      </w:r>
      <w:r w:rsidRPr="00A11634">
        <w:rPr>
          <w:b/>
          <w:bCs/>
          <w:vertAlign w:val="superscript"/>
        </w:rPr>
        <w:t>er</w:t>
      </w:r>
      <w:r w:rsidRPr="00A11634">
        <w:rPr>
          <w:b/>
          <w:bCs/>
        </w:rPr>
        <w:t xml:space="preserve"> septembre 2022 et ce jusqu’au 31 octobre 2022</w:t>
      </w:r>
      <w:r>
        <w:t xml:space="preserve">. Le décret du </w:t>
      </w:r>
      <w:r w:rsidR="0073377E">
        <w:t xml:space="preserve">26 juillet 2019 est applicable jusqu’au </w:t>
      </w:r>
      <w:r w:rsidR="00E5160D">
        <w:t>1</w:t>
      </w:r>
      <w:r w:rsidR="00E5160D" w:rsidRPr="0073377E">
        <w:rPr>
          <w:vertAlign w:val="superscript"/>
        </w:rPr>
        <w:t>er</w:t>
      </w:r>
      <w:r w:rsidR="00E5160D">
        <w:t> </w:t>
      </w:r>
      <w:r w:rsidR="0073377E">
        <w:t xml:space="preserve">novembre 2022, ce qui ne permet donc pas de prévoir des dispositions applicables au-delà. </w:t>
      </w:r>
    </w:p>
    <w:p w14:paraId="7BF26B4A" w14:textId="4F9D1BA4" w:rsidR="00C2016F" w:rsidRPr="00C56B69" w:rsidRDefault="00C2016F" w:rsidP="002F6925">
      <w:r w:rsidRPr="007453E6">
        <w:rPr>
          <w:b/>
          <w:bCs/>
        </w:rPr>
        <w:t xml:space="preserve"> </w:t>
      </w:r>
    </w:p>
    <w:sectPr w:rsidR="00C2016F" w:rsidRPr="00C56B69" w:rsidSect="000F401B">
      <w:footerReference w:type="default" r:id="rId13"/>
      <w:pgSz w:w="11906" w:h="16838"/>
      <w:pgMar w:top="1417" w:right="1417" w:bottom="2552"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2D02A4" w14:textId="77777777" w:rsidR="00C400FB" w:rsidRDefault="00C400FB" w:rsidP="00CA6A76">
      <w:pPr>
        <w:spacing w:after="0" w:line="240" w:lineRule="auto"/>
      </w:pPr>
      <w:r>
        <w:separator/>
      </w:r>
    </w:p>
  </w:endnote>
  <w:endnote w:type="continuationSeparator" w:id="0">
    <w:p w14:paraId="21461C6B" w14:textId="77777777" w:rsidR="00C400FB" w:rsidRDefault="00C400FB" w:rsidP="00CA6A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LT Std 35 Light">
    <w:panose1 w:val="020B0402020203020204"/>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Avenir LT Std 65 Medium">
    <w:panose1 w:val="020B0803020203020204"/>
    <w:charset w:val="00"/>
    <w:family w:val="swiss"/>
    <w:notTrueType/>
    <w:pitch w:val="variable"/>
    <w:sig w:usb0="800000AF" w:usb1="4000204A" w:usb2="00000000" w:usb3="00000000" w:csb0="00000001" w:csb1="00000000"/>
  </w:font>
  <w:font w:name="Avenir LT Std 55 Roman">
    <w:panose1 w:val="020B0703020203020204"/>
    <w:charset w:val="00"/>
    <w:family w:val="swiss"/>
    <w:notTrueType/>
    <w:pitch w:val="variable"/>
    <w:sig w:usb0="800000AF"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0368626"/>
      <w:docPartObj>
        <w:docPartGallery w:val="Page Numbers (Bottom of Page)"/>
        <w:docPartUnique/>
      </w:docPartObj>
    </w:sdtPr>
    <w:sdtEndPr>
      <w:rPr>
        <w:sz w:val="24"/>
        <w:szCs w:val="24"/>
      </w:rPr>
    </w:sdtEndPr>
    <w:sdtContent>
      <w:p w14:paraId="47799498" w14:textId="34DA6C87" w:rsidR="005068B4" w:rsidRPr="001A74FE" w:rsidRDefault="00A75BCE" w:rsidP="001A74FE">
        <w:pPr>
          <w:pStyle w:val="Pieddepage"/>
          <w:jc w:val="right"/>
        </w:pPr>
        <w:r w:rsidRPr="000E29BA">
          <w:rPr>
            <w:rFonts w:eastAsia="Calibri" w:cs="Calibri"/>
            <w:noProof/>
            <w:color w:val="C00000"/>
            <w:sz w:val="24"/>
            <w:szCs w:val="24"/>
          </w:rPr>
          <mc:AlternateContent>
            <mc:Choice Requires="wps">
              <w:drawing>
                <wp:anchor distT="0" distB="0" distL="114300" distR="114300" simplePos="0" relativeHeight="251659264" behindDoc="0" locked="0" layoutInCell="1" allowOverlap="1" wp14:anchorId="229DBD27" wp14:editId="186E4162">
                  <wp:simplePos x="0" y="0"/>
                  <wp:positionH relativeFrom="page">
                    <wp:posOffset>-147955</wp:posOffset>
                  </wp:positionH>
                  <wp:positionV relativeFrom="paragraph">
                    <wp:posOffset>248920</wp:posOffset>
                  </wp:positionV>
                  <wp:extent cx="7629525" cy="45719"/>
                  <wp:effectExtent l="0" t="0" r="0" b="12065"/>
                  <wp:wrapNone/>
                  <wp:docPr id="5" name="Signe Moins 5"/>
                  <wp:cNvGraphicFramePr/>
                  <a:graphic xmlns:a="http://schemas.openxmlformats.org/drawingml/2006/main">
                    <a:graphicData uri="http://schemas.microsoft.com/office/word/2010/wordprocessingShape">
                      <wps:wsp>
                        <wps:cNvSpPr/>
                        <wps:spPr>
                          <a:xfrm>
                            <a:off x="0" y="0"/>
                            <a:ext cx="7629525" cy="45719"/>
                          </a:xfrm>
                          <a:prstGeom prst="mathMinus">
                            <a:avLst/>
                          </a:prstGeom>
                          <a:solidFill>
                            <a:srgbClr val="114D61"/>
                          </a:solidFill>
                          <a:ln w="25400" cap="flat" cmpd="sng" algn="ctr">
                            <a:solidFill>
                              <a:srgbClr val="44546A"/>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C4C3D8" id="Signe Moins 5" o:spid="_x0000_s1026" style="position:absolute;margin-left:-11.65pt;margin-top:19.6pt;width:600.75pt;height:3.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629525,45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" path="m1011294,17483r5606937,l6618231,28236r-5606937,l1011294,17483xe" fillcolor="#114d61" strokecolor="#44546a" strokeweight="2pt">
                  <v:path arrowok="t" o:connecttype="custom" o:connectlocs="1011294,17483;6618231,17483;6618231,28236;1011294,28236;1011294,17483" o:connectangles="0,0,0,0,0"/>
                  <w10:wrap anchorx="page"/>
                </v:shape>
              </w:pict>
            </mc:Fallback>
          </mc:AlternateContent>
        </w:r>
      </w:p>
    </w:sdtContent>
  </w:sdt>
  <w:p w14:paraId="1E466D87" w14:textId="5B29CC72" w:rsidR="00CA6A76" w:rsidRPr="00A75BCE" w:rsidRDefault="00567FD2">
    <w:pPr>
      <w:pStyle w:val="Pieddepage"/>
    </w:pPr>
    <w:r>
      <w:t xml:space="preserve">Direction des affaires sociales et de la formation </w:t>
    </w:r>
    <w:r w:rsidR="00701B45" w:rsidRPr="00A75BCE">
      <w:t xml:space="preserve">                              </w:t>
    </w:r>
    <w:r w:rsidR="00A75BCE" w:rsidRPr="00A75BCE">
      <w:t xml:space="preserve">                    </w:t>
    </w:r>
    <w:r w:rsidR="00701B45" w:rsidRPr="00A75BCE">
      <w:t xml:space="preserve">Page | </w:t>
    </w:r>
    <w:r w:rsidR="00701B45" w:rsidRPr="00A75BCE">
      <w:fldChar w:fldCharType="begin"/>
    </w:r>
    <w:r w:rsidR="00701B45" w:rsidRPr="00A75BCE">
      <w:instrText>PAGE   \* MERGEFORMAT</w:instrText>
    </w:r>
    <w:r w:rsidR="00701B45" w:rsidRPr="00A75BCE">
      <w:fldChar w:fldCharType="separate"/>
    </w:r>
    <w:r w:rsidR="00080646">
      <w:rPr>
        <w:noProof/>
      </w:rPr>
      <w:t>2</w:t>
    </w:r>
    <w:r w:rsidR="00701B45" w:rsidRPr="00A75BCE">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29F3E8" w14:textId="77777777" w:rsidR="00C400FB" w:rsidRDefault="00C400FB" w:rsidP="00CA6A76">
      <w:pPr>
        <w:spacing w:after="0" w:line="240" w:lineRule="auto"/>
      </w:pPr>
      <w:r>
        <w:separator/>
      </w:r>
    </w:p>
  </w:footnote>
  <w:footnote w:type="continuationSeparator" w:id="0">
    <w:p w14:paraId="55D52BA3" w14:textId="77777777" w:rsidR="00C400FB" w:rsidRDefault="00C400FB" w:rsidP="00CA6A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79341DCD"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7pt;height:11.7pt" o:bullet="t">
        <v:imagedata r:id="rId1" o:title="mso5BF5"/>
      </v:shape>
    </w:pict>
  </w:numPicBullet>
  <w:abstractNum w:abstractNumId="0" w15:restartNumberingAfterBreak="0">
    <w:nsid w:val="04E20749"/>
    <w:multiLevelType w:val="hybridMultilevel"/>
    <w:tmpl w:val="75E0B72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07A61417"/>
    <w:multiLevelType w:val="hybridMultilevel"/>
    <w:tmpl w:val="FD78755A"/>
    <w:lvl w:ilvl="0" w:tplc="06D091EE">
      <w:numFmt w:val="bullet"/>
      <w:lvlText w:val="-"/>
      <w:lvlJc w:val="left"/>
      <w:pPr>
        <w:ind w:left="720" w:hanging="360"/>
      </w:pPr>
      <w:rPr>
        <w:rFonts w:ascii="Avenir LT Std 35 Light" w:eastAsiaTheme="minorHAnsi" w:hAnsi="Avenir LT Std 35 Ligh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87A5E63"/>
    <w:multiLevelType w:val="hybridMultilevel"/>
    <w:tmpl w:val="FD5E81D4"/>
    <w:lvl w:ilvl="0" w:tplc="282A18C0">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B724338"/>
    <w:multiLevelType w:val="hybridMultilevel"/>
    <w:tmpl w:val="1270D308"/>
    <w:lvl w:ilvl="0" w:tplc="A0BA82E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0827213"/>
    <w:multiLevelType w:val="hybridMultilevel"/>
    <w:tmpl w:val="81D40E18"/>
    <w:lvl w:ilvl="0" w:tplc="39FCDD0A">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43E3F34"/>
    <w:multiLevelType w:val="hybridMultilevel"/>
    <w:tmpl w:val="CB724C40"/>
    <w:lvl w:ilvl="0" w:tplc="A0BA82E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5BA3F2A"/>
    <w:multiLevelType w:val="hybridMultilevel"/>
    <w:tmpl w:val="9F96BBD0"/>
    <w:lvl w:ilvl="0" w:tplc="A0BA82E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62113E7"/>
    <w:multiLevelType w:val="hybridMultilevel"/>
    <w:tmpl w:val="C820F43E"/>
    <w:lvl w:ilvl="0" w:tplc="EEC22B34">
      <w:numFmt w:val="bullet"/>
      <w:lvlText w:val="-"/>
      <w:lvlJc w:val="left"/>
      <w:pPr>
        <w:ind w:left="720" w:hanging="360"/>
      </w:pPr>
      <w:rPr>
        <w:rFonts w:ascii="Avenir LT Std 35 Light" w:eastAsiaTheme="minorHAnsi" w:hAnsi="Avenir LT Std 35 Ligh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99B6118"/>
    <w:multiLevelType w:val="hybridMultilevel"/>
    <w:tmpl w:val="29F2B66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DFE17D7"/>
    <w:multiLevelType w:val="hybridMultilevel"/>
    <w:tmpl w:val="8D162034"/>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EA412B4"/>
    <w:multiLevelType w:val="hybridMultilevel"/>
    <w:tmpl w:val="3348CE72"/>
    <w:lvl w:ilvl="0" w:tplc="7F5A1C90">
      <w:start w:val="572"/>
      <w:numFmt w:val="bullet"/>
      <w:lvlText w:val=""/>
      <w:lvlJc w:val="left"/>
      <w:pPr>
        <w:ind w:left="1068" w:hanging="360"/>
      </w:pPr>
      <w:rPr>
        <w:rFonts w:ascii="Symbol" w:eastAsiaTheme="minorHAnsi" w:hAnsi="Symbol" w:cstheme="minorBidi" w:hint="default"/>
        <w:b/>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1" w15:restartNumberingAfterBreak="0">
    <w:nsid w:val="33CA1D24"/>
    <w:multiLevelType w:val="hybridMultilevel"/>
    <w:tmpl w:val="44A2759C"/>
    <w:lvl w:ilvl="0" w:tplc="ABF67F8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4927FC6"/>
    <w:multiLevelType w:val="hybridMultilevel"/>
    <w:tmpl w:val="5DEA46B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3AC4261D"/>
    <w:multiLevelType w:val="hybridMultilevel"/>
    <w:tmpl w:val="5B3C63C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3BB261D4"/>
    <w:multiLevelType w:val="hybridMultilevel"/>
    <w:tmpl w:val="AFE44C48"/>
    <w:lvl w:ilvl="0" w:tplc="236ADA3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3D7276C1"/>
    <w:multiLevelType w:val="hybridMultilevel"/>
    <w:tmpl w:val="43A459E8"/>
    <w:lvl w:ilvl="0" w:tplc="A0BA82E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11324DA"/>
    <w:multiLevelType w:val="hybridMultilevel"/>
    <w:tmpl w:val="05028D88"/>
    <w:lvl w:ilvl="0" w:tplc="99CE1228">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CD82D6D"/>
    <w:multiLevelType w:val="hybridMultilevel"/>
    <w:tmpl w:val="53B6CFD2"/>
    <w:lvl w:ilvl="0" w:tplc="EA50C35C">
      <w:numFmt w:val="bullet"/>
      <w:lvlText w:val=""/>
      <w:lvlJc w:val="left"/>
      <w:pPr>
        <w:ind w:left="1800" w:hanging="360"/>
      </w:pPr>
      <w:rPr>
        <w:rFonts w:ascii="Wingdings" w:eastAsiaTheme="minorHAnsi" w:hAnsi="Wingdings" w:cstheme="minorBidi"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8" w15:restartNumberingAfterBreak="0">
    <w:nsid w:val="511F5F9A"/>
    <w:multiLevelType w:val="hybridMultilevel"/>
    <w:tmpl w:val="DB503CE0"/>
    <w:lvl w:ilvl="0" w:tplc="A0BA82E0">
      <w:start w:val="1"/>
      <w:numFmt w:val="bullet"/>
      <w:lvlText w:val=""/>
      <w:lvlJc w:val="left"/>
      <w:pPr>
        <w:ind w:left="720" w:hanging="360"/>
      </w:pPr>
      <w:rPr>
        <w:rFonts w:ascii="Symbol" w:hAnsi="Symbol" w:hint="default"/>
      </w:rPr>
    </w:lvl>
    <w:lvl w:ilvl="1" w:tplc="38DA590C">
      <w:numFmt w:val="bullet"/>
      <w:lvlText w:val="-"/>
      <w:lvlJc w:val="left"/>
      <w:pPr>
        <w:ind w:left="1440" w:hanging="360"/>
      </w:pPr>
      <w:rPr>
        <w:rFonts w:ascii="Calibri" w:eastAsia="Calibri" w:hAnsi="Calibri" w:cs="Calibri"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9" w15:restartNumberingAfterBreak="0">
    <w:nsid w:val="527641DC"/>
    <w:multiLevelType w:val="hybridMultilevel"/>
    <w:tmpl w:val="66B489E6"/>
    <w:lvl w:ilvl="0" w:tplc="6A7C6EB4">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56D00B9"/>
    <w:multiLevelType w:val="hybridMultilevel"/>
    <w:tmpl w:val="DF7410CC"/>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82A134C"/>
    <w:multiLevelType w:val="hybridMultilevel"/>
    <w:tmpl w:val="0428B892"/>
    <w:lvl w:ilvl="0" w:tplc="A0BA82E0">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2" w15:restartNumberingAfterBreak="0">
    <w:nsid w:val="5D084ABB"/>
    <w:multiLevelType w:val="hybridMultilevel"/>
    <w:tmpl w:val="39A24AC6"/>
    <w:lvl w:ilvl="0" w:tplc="A0BA82E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2DE3A7B"/>
    <w:multiLevelType w:val="hybridMultilevel"/>
    <w:tmpl w:val="CFACB112"/>
    <w:lvl w:ilvl="0" w:tplc="A776E4CA">
      <w:numFmt w:val="bullet"/>
      <w:lvlText w:val=""/>
      <w:lvlJc w:val="left"/>
      <w:pPr>
        <w:ind w:left="1080" w:hanging="360"/>
      </w:pPr>
      <w:rPr>
        <w:rFonts w:ascii="Wingdings" w:eastAsiaTheme="minorHAnsi" w:hAnsi="Wingdings"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4" w15:restartNumberingAfterBreak="0">
    <w:nsid w:val="67156B73"/>
    <w:multiLevelType w:val="hybridMultilevel"/>
    <w:tmpl w:val="B148B5B0"/>
    <w:lvl w:ilvl="0" w:tplc="04CC80CC">
      <w:numFmt w:val="bullet"/>
      <w:lvlText w:val="-"/>
      <w:lvlJc w:val="left"/>
      <w:pPr>
        <w:ind w:left="720" w:hanging="360"/>
      </w:pPr>
      <w:rPr>
        <w:rFonts w:ascii="Avenir LT Std 35 Light" w:eastAsiaTheme="minorHAnsi" w:hAnsi="Avenir LT Std 35 Ligh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A370EED"/>
    <w:multiLevelType w:val="hybridMultilevel"/>
    <w:tmpl w:val="C194BE90"/>
    <w:lvl w:ilvl="0" w:tplc="19B8F250">
      <w:start w:val="1"/>
      <w:numFmt w:val="decimal"/>
      <w:lvlText w:val="%1 - "/>
      <w:lvlJc w:val="left"/>
      <w:pPr>
        <w:ind w:left="360" w:hanging="360"/>
      </w:pPr>
    </w:lvl>
    <w:lvl w:ilvl="1" w:tplc="05A4B896">
      <w:start w:val="1"/>
      <w:numFmt w:val="bullet"/>
      <w:lvlText w:val="-"/>
      <w:lvlJc w:val="left"/>
      <w:pPr>
        <w:ind w:left="1080" w:hanging="360"/>
      </w:pPr>
      <w:rPr>
        <w:rFonts w:ascii="Symbol" w:hAnsi="Symbol" w:hint="default"/>
      </w:rPr>
    </w:lvl>
    <w:lvl w:ilvl="2" w:tplc="040C001B">
      <w:start w:val="1"/>
      <w:numFmt w:val="lowerRoman"/>
      <w:lvlText w:val="%3."/>
      <w:lvlJc w:val="right"/>
      <w:pPr>
        <w:ind w:left="1800" w:hanging="180"/>
      </w:pPr>
    </w:lvl>
    <w:lvl w:ilvl="3" w:tplc="040C000F">
      <w:start w:val="1"/>
      <w:numFmt w:val="decimal"/>
      <w:lvlText w:val="%4."/>
      <w:lvlJc w:val="left"/>
      <w:pPr>
        <w:ind w:left="2520" w:hanging="360"/>
      </w:pPr>
    </w:lvl>
    <w:lvl w:ilvl="4" w:tplc="040C0019">
      <w:start w:val="1"/>
      <w:numFmt w:val="lowerLetter"/>
      <w:lvlText w:val="%5."/>
      <w:lvlJc w:val="left"/>
      <w:pPr>
        <w:ind w:left="3240" w:hanging="360"/>
      </w:pPr>
    </w:lvl>
    <w:lvl w:ilvl="5" w:tplc="040C001B">
      <w:start w:val="1"/>
      <w:numFmt w:val="lowerRoman"/>
      <w:lvlText w:val="%6."/>
      <w:lvlJc w:val="right"/>
      <w:pPr>
        <w:ind w:left="3960" w:hanging="180"/>
      </w:pPr>
    </w:lvl>
    <w:lvl w:ilvl="6" w:tplc="040C000F">
      <w:start w:val="1"/>
      <w:numFmt w:val="decimal"/>
      <w:lvlText w:val="%7."/>
      <w:lvlJc w:val="left"/>
      <w:pPr>
        <w:ind w:left="4680" w:hanging="360"/>
      </w:pPr>
    </w:lvl>
    <w:lvl w:ilvl="7" w:tplc="040C0019">
      <w:start w:val="1"/>
      <w:numFmt w:val="lowerLetter"/>
      <w:lvlText w:val="%8."/>
      <w:lvlJc w:val="left"/>
      <w:pPr>
        <w:ind w:left="5400" w:hanging="360"/>
      </w:pPr>
    </w:lvl>
    <w:lvl w:ilvl="8" w:tplc="040C001B">
      <w:start w:val="1"/>
      <w:numFmt w:val="lowerRoman"/>
      <w:lvlText w:val="%9."/>
      <w:lvlJc w:val="right"/>
      <w:pPr>
        <w:ind w:left="6120" w:hanging="180"/>
      </w:pPr>
    </w:lvl>
  </w:abstractNum>
  <w:abstractNum w:abstractNumId="26" w15:restartNumberingAfterBreak="0">
    <w:nsid w:val="6CA84604"/>
    <w:multiLevelType w:val="hybridMultilevel"/>
    <w:tmpl w:val="71D68718"/>
    <w:lvl w:ilvl="0" w:tplc="D2DA881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E0A3A70"/>
    <w:multiLevelType w:val="hybridMultilevel"/>
    <w:tmpl w:val="36C22A2A"/>
    <w:lvl w:ilvl="0" w:tplc="A0BA82E0">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8" w15:restartNumberingAfterBreak="0">
    <w:nsid w:val="715A52A4"/>
    <w:multiLevelType w:val="hybridMultilevel"/>
    <w:tmpl w:val="63983A04"/>
    <w:lvl w:ilvl="0" w:tplc="CA3E355C">
      <w:numFmt w:val="bullet"/>
      <w:lvlText w:val="-"/>
      <w:lvlJc w:val="left"/>
      <w:pPr>
        <w:ind w:left="720" w:hanging="360"/>
      </w:pPr>
      <w:rPr>
        <w:rFonts w:ascii="Avenir LT Std 35 Light" w:eastAsiaTheme="minorHAnsi" w:hAnsi="Avenir LT Std 35 Light"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20D245B"/>
    <w:multiLevelType w:val="hybridMultilevel"/>
    <w:tmpl w:val="A308FD82"/>
    <w:lvl w:ilvl="0" w:tplc="A0BE11B4">
      <w:numFmt w:val="bullet"/>
      <w:lvlText w:val="-"/>
      <w:lvlJc w:val="left"/>
      <w:pPr>
        <w:ind w:left="720" w:hanging="360"/>
      </w:pPr>
      <w:rPr>
        <w:rFonts w:ascii="Avenir LT Std 35 Light" w:eastAsiaTheme="minorHAnsi" w:hAnsi="Avenir LT Std 35 Light"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99E0601"/>
    <w:multiLevelType w:val="hybridMultilevel"/>
    <w:tmpl w:val="E3FA9F74"/>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7F4D13C5"/>
    <w:multiLevelType w:val="hybridMultilevel"/>
    <w:tmpl w:val="0242D7C6"/>
    <w:lvl w:ilvl="0" w:tplc="281C18E2">
      <w:numFmt w:val="bullet"/>
      <w:lvlText w:val="-"/>
      <w:lvlJc w:val="left"/>
      <w:pPr>
        <w:ind w:left="720" w:hanging="360"/>
      </w:pPr>
      <w:rPr>
        <w:rFonts w:ascii="Avenir LT Std 35 Light" w:eastAsiaTheme="minorHAnsi" w:hAnsi="Avenir LT Std 35 Ligh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F802F05"/>
    <w:multiLevelType w:val="hybridMultilevel"/>
    <w:tmpl w:val="0EC275E0"/>
    <w:lvl w:ilvl="0" w:tplc="A0BA82E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28"/>
  </w:num>
  <w:num w:numId="4">
    <w:abstractNumId w:val="15"/>
  </w:num>
  <w:num w:numId="5">
    <w:abstractNumId w:val="7"/>
  </w:num>
  <w:num w:numId="6">
    <w:abstractNumId w:val="2"/>
  </w:num>
  <w:num w:numId="7">
    <w:abstractNumId w:val="14"/>
  </w:num>
  <w:num w:numId="8">
    <w:abstractNumId w:val="27"/>
  </w:num>
  <w:num w:numId="9">
    <w:abstractNumId w:val="4"/>
  </w:num>
  <w:num w:numId="10">
    <w:abstractNumId w:val="12"/>
  </w:num>
  <w:num w:numId="11">
    <w:abstractNumId w:val="6"/>
  </w:num>
  <w:num w:numId="12">
    <w:abstractNumId w:val="5"/>
  </w:num>
  <w:num w:numId="13">
    <w:abstractNumId w:val="32"/>
  </w:num>
  <w:num w:numId="14">
    <w:abstractNumId w:val="26"/>
  </w:num>
  <w:num w:numId="15">
    <w:abstractNumId w:val="3"/>
  </w:num>
  <w:num w:numId="16">
    <w:abstractNumId w:val="13"/>
  </w:num>
  <w:num w:numId="17">
    <w:abstractNumId w:val="8"/>
  </w:num>
  <w:num w:numId="18">
    <w:abstractNumId w:val="2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24"/>
  </w:num>
  <w:num w:numId="21">
    <w:abstractNumId w:val="23"/>
  </w:num>
  <w:num w:numId="22">
    <w:abstractNumId w:val="18"/>
  </w:num>
  <w:num w:numId="23">
    <w:abstractNumId w:val="16"/>
  </w:num>
  <w:num w:numId="24">
    <w:abstractNumId w:val="19"/>
  </w:num>
  <w:num w:numId="25">
    <w:abstractNumId w:val="22"/>
  </w:num>
  <w:num w:numId="26">
    <w:abstractNumId w:val="29"/>
  </w:num>
  <w:num w:numId="27">
    <w:abstractNumId w:val="31"/>
  </w:num>
  <w:num w:numId="28">
    <w:abstractNumId w:val="21"/>
  </w:num>
  <w:num w:numId="29">
    <w:abstractNumId w:val="20"/>
  </w:num>
  <w:num w:numId="30">
    <w:abstractNumId w:val="9"/>
  </w:num>
  <w:num w:numId="31">
    <w:abstractNumId w:val="30"/>
  </w:num>
  <w:num w:numId="32">
    <w:abstractNumId w:val="11"/>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oNotDisplayPageBoundaries/>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1C86"/>
    <w:rsid w:val="00004F01"/>
    <w:rsid w:val="00037D6C"/>
    <w:rsid w:val="00040344"/>
    <w:rsid w:val="000634C2"/>
    <w:rsid w:val="00080646"/>
    <w:rsid w:val="00081372"/>
    <w:rsid w:val="000A17DA"/>
    <w:rsid w:val="000C6578"/>
    <w:rsid w:val="000D02DD"/>
    <w:rsid w:val="000E29BA"/>
    <w:rsid w:val="000F401B"/>
    <w:rsid w:val="001104E9"/>
    <w:rsid w:val="0012071F"/>
    <w:rsid w:val="00123741"/>
    <w:rsid w:val="001369DF"/>
    <w:rsid w:val="00174A95"/>
    <w:rsid w:val="001A1AC6"/>
    <w:rsid w:val="001A74FE"/>
    <w:rsid w:val="001B0883"/>
    <w:rsid w:val="001E6790"/>
    <w:rsid w:val="001F6CC8"/>
    <w:rsid w:val="002006AC"/>
    <w:rsid w:val="002A0BAD"/>
    <w:rsid w:val="002C4495"/>
    <w:rsid w:val="002D6C82"/>
    <w:rsid w:val="002E01CC"/>
    <w:rsid w:val="002F6925"/>
    <w:rsid w:val="003137AA"/>
    <w:rsid w:val="00325564"/>
    <w:rsid w:val="00336EF6"/>
    <w:rsid w:val="00352781"/>
    <w:rsid w:val="00354864"/>
    <w:rsid w:val="0037300D"/>
    <w:rsid w:val="00387400"/>
    <w:rsid w:val="003900C4"/>
    <w:rsid w:val="00394836"/>
    <w:rsid w:val="003959D8"/>
    <w:rsid w:val="003A59F5"/>
    <w:rsid w:val="003A5AFA"/>
    <w:rsid w:val="003C1E4B"/>
    <w:rsid w:val="003D007F"/>
    <w:rsid w:val="003D1004"/>
    <w:rsid w:val="003D490E"/>
    <w:rsid w:val="003D7987"/>
    <w:rsid w:val="003E6024"/>
    <w:rsid w:val="00401C86"/>
    <w:rsid w:val="00412AED"/>
    <w:rsid w:val="004140E5"/>
    <w:rsid w:val="00426EE7"/>
    <w:rsid w:val="00433E44"/>
    <w:rsid w:val="00440139"/>
    <w:rsid w:val="004473E1"/>
    <w:rsid w:val="004578E1"/>
    <w:rsid w:val="004705CD"/>
    <w:rsid w:val="004827B9"/>
    <w:rsid w:val="004D7285"/>
    <w:rsid w:val="004F5D90"/>
    <w:rsid w:val="004F7B6A"/>
    <w:rsid w:val="005023B7"/>
    <w:rsid w:val="005068B4"/>
    <w:rsid w:val="00511164"/>
    <w:rsid w:val="0052417D"/>
    <w:rsid w:val="00531FC6"/>
    <w:rsid w:val="00535399"/>
    <w:rsid w:val="005410D0"/>
    <w:rsid w:val="00544994"/>
    <w:rsid w:val="00567FD2"/>
    <w:rsid w:val="00571E1B"/>
    <w:rsid w:val="0057442E"/>
    <w:rsid w:val="005774F9"/>
    <w:rsid w:val="0059135E"/>
    <w:rsid w:val="00597266"/>
    <w:rsid w:val="005A009A"/>
    <w:rsid w:val="005E1285"/>
    <w:rsid w:val="005E5ADF"/>
    <w:rsid w:val="006030AB"/>
    <w:rsid w:val="00616DFF"/>
    <w:rsid w:val="00636D31"/>
    <w:rsid w:val="006475F2"/>
    <w:rsid w:val="00660E5C"/>
    <w:rsid w:val="006762EA"/>
    <w:rsid w:val="006E25AD"/>
    <w:rsid w:val="006F28B9"/>
    <w:rsid w:val="00701B45"/>
    <w:rsid w:val="007060C6"/>
    <w:rsid w:val="00710199"/>
    <w:rsid w:val="00733054"/>
    <w:rsid w:val="0073377E"/>
    <w:rsid w:val="00733F35"/>
    <w:rsid w:val="007453E6"/>
    <w:rsid w:val="0074770D"/>
    <w:rsid w:val="007530A3"/>
    <w:rsid w:val="007741F6"/>
    <w:rsid w:val="0078449D"/>
    <w:rsid w:val="00786E1C"/>
    <w:rsid w:val="00791BB1"/>
    <w:rsid w:val="007D2614"/>
    <w:rsid w:val="007D4739"/>
    <w:rsid w:val="007F1E11"/>
    <w:rsid w:val="00807A7F"/>
    <w:rsid w:val="0082430C"/>
    <w:rsid w:val="00832A34"/>
    <w:rsid w:val="008429E2"/>
    <w:rsid w:val="00853545"/>
    <w:rsid w:val="00861A84"/>
    <w:rsid w:val="00867267"/>
    <w:rsid w:val="00872004"/>
    <w:rsid w:val="008846ED"/>
    <w:rsid w:val="008A5BB3"/>
    <w:rsid w:val="009206B0"/>
    <w:rsid w:val="00923327"/>
    <w:rsid w:val="00930CB7"/>
    <w:rsid w:val="009336E8"/>
    <w:rsid w:val="00934626"/>
    <w:rsid w:val="00943BF5"/>
    <w:rsid w:val="00955499"/>
    <w:rsid w:val="00962131"/>
    <w:rsid w:val="009628A9"/>
    <w:rsid w:val="00976E6C"/>
    <w:rsid w:val="009B1ADD"/>
    <w:rsid w:val="009B6E85"/>
    <w:rsid w:val="00A11634"/>
    <w:rsid w:val="00A33D1F"/>
    <w:rsid w:val="00A41A23"/>
    <w:rsid w:val="00A46069"/>
    <w:rsid w:val="00A467FD"/>
    <w:rsid w:val="00A704B6"/>
    <w:rsid w:val="00A75BCE"/>
    <w:rsid w:val="00A8709F"/>
    <w:rsid w:val="00AC21F5"/>
    <w:rsid w:val="00AE1AE7"/>
    <w:rsid w:val="00AE78AA"/>
    <w:rsid w:val="00AF6839"/>
    <w:rsid w:val="00B27D73"/>
    <w:rsid w:val="00B336B4"/>
    <w:rsid w:val="00B47EA9"/>
    <w:rsid w:val="00B64C32"/>
    <w:rsid w:val="00B8450C"/>
    <w:rsid w:val="00BA6F97"/>
    <w:rsid w:val="00BB1B73"/>
    <w:rsid w:val="00BD1FAC"/>
    <w:rsid w:val="00BE4919"/>
    <w:rsid w:val="00BE5B19"/>
    <w:rsid w:val="00BF61B6"/>
    <w:rsid w:val="00C050FE"/>
    <w:rsid w:val="00C2016F"/>
    <w:rsid w:val="00C24E58"/>
    <w:rsid w:val="00C400FB"/>
    <w:rsid w:val="00C46272"/>
    <w:rsid w:val="00C55DAE"/>
    <w:rsid w:val="00C56B69"/>
    <w:rsid w:val="00C60F8F"/>
    <w:rsid w:val="00C752C8"/>
    <w:rsid w:val="00C87A39"/>
    <w:rsid w:val="00CA01D4"/>
    <w:rsid w:val="00CA3176"/>
    <w:rsid w:val="00CA683E"/>
    <w:rsid w:val="00CA6A76"/>
    <w:rsid w:val="00CE1C37"/>
    <w:rsid w:val="00CE5B71"/>
    <w:rsid w:val="00D16F2C"/>
    <w:rsid w:val="00D3102B"/>
    <w:rsid w:val="00D52B4D"/>
    <w:rsid w:val="00DA477E"/>
    <w:rsid w:val="00DC2516"/>
    <w:rsid w:val="00DD08E5"/>
    <w:rsid w:val="00DE55B7"/>
    <w:rsid w:val="00DF7280"/>
    <w:rsid w:val="00E2621E"/>
    <w:rsid w:val="00E30967"/>
    <w:rsid w:val="00E3599A"/>
    <w:rsid w:val="00E476F0"/>
    <w:rsid w:val="00E47921"/>
    <w:rsid w:val="00E5160D"/>
    <w:rsid w:val="00E658D3"/>
    <w:rsid w:val="00E745A1"/>
    <w:rsid w:val="00E84026"/>
    <w:rsid w:val="00E8537F"/>
    <w:rsid w:val="00E9158E"/>
    <w:rsid w:val="00E94D34"/>
    <w:rsid w:val="00EA27F5"/>
    <w:rsid w:val="00EC27E0"/>
    <w:rsid w:val="00EC29F3"/>
    <w:rsid w:val="00EE3F0A"/>
    <w:rsid w:val="00F07F17"/>
    <w:rsid w:val="00F10D69"/>
    <w:rsid w:val="00F731B7"/>
    <w:rsid w:val="00F93FCF"/>
    <w:rsid w:val="00F95338"/>
    <w:rsid w:val="00FA0B2A"/>
    <w:rsid w:val="00FA24D8"/>
    <w:rsid w:val="00FA601D"/>
    <w:rsid w:val="00FB2D14"/>
    <w:rsid w:val="00FB45FA"/>
    <w:rsid w:val="00FD1950"/>
    <w:rsid w:val="00FF62D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05E283"/>
  <w15:chartTrackingRefBased/>
  <w15:docId w15:val="{0F99CC07-8442-4B59-909D-8924BEF69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74FE"/>
    <w:pPr>
      <w:spacing w:before="100" w:beforeAutospacing="1" w:after="100" w:afterAutospacing="1"/>
      <w:jc w:val="both"/>
    </w:pPr>
    <w:rPr>
      <w:rFonts w:ascii="Avenir LT Std 35 Light" w:hAnsi="Avenir LT Std 35 Light"/>
    </w:rPr>
  </w:style>
  <w:style w:type="paragraph" w:styleId="Titre1">
    <w:name w:val="heading 1"/>
    <w:basedOn w:val="Normal"/>
    <w:next w:val="Normal"/>
    <w:link w:val="Titre1Car"/>
    <w:uiPriority w:val="9"/>
    <w:qFormat/>
    <w:rsid w:val="0059135E"/>
    <w:pPr>
      <w:keepNext/>
      <w:keepLines/>
      <w:spacing w:before="240" w:after="240" w:line="240" w:lineRule="auto"/>
      <w:outlineLvl w:val="0"/>
    </w:pPr>
    <w:rPr>
      <w:rFonts w:ascii="Avenir LT Std 65 Medium" w:eastAsiaTheme="majorEastAsia" w:hAnsi="Avenir LT Std 65 Medium" w:cstheme="majorBidi"/>
      <w:color w:val="114D61"/>
      <w:sz w:val="32"/>
      <w:szCs w:val="32"/>
    </w:rPr>
  </w:style>
  <w:style w:type="paragraph" w:styleId="Titre2">
    <w:name w:val="heading 2"/>
    <w:basedOn w:val="Normal"/>
    <w:next w:val="Normal"/>
    <w:link w:val="Titre2Car"/>
    <w:uiPriority w:val="9"/>
    <w:unhideWhenUsed/>
    <w:qFormat/>
    <w:rsid w:val="001A74FE"/>
    <w:pPr>
      <w:keepNext/>
      <w:keepLines/>
      <w:spacing w:before="120" w:beforeAutospacing="0" w:after="120" w:afterAutospacing="0"/>
      <w:outlineLvl w:val="1"/>
    </w:pPr>
    <w:rPr>
      <w:rFonts w:ascii="Avenir LT Std 55 Roman" w:eastAsiaTheme="majorEastAsia" w:hAnsi="Avenir LT Std 55 Roman" w:cstheme="majorBidi"/>
      <w:color w:val="114D61"/>
      <w:sz w:val="26"/>
      <w:szCs w:val="26"/>
    </w:rPr>
  </w:style>
  <w:style w:type="paragraph" w:styleId="Titre3">
    <w:name w:val="heading 3"/>
    <w:basedOn w:val="Normal"/>
    <w:next w:val="Normal"/>
    <w:link w:val="Titre3Car"/>
    <w:uiPriority w:val="9"/>
    <w:unhideWhenUsed/>
    <w:qFormat/>
    <w:rsid w:val="008429E2"/>
    <w:pPr>
      <w:keepNext/>
      <w:keepLines/>
      <w:spacing w:before="120" w:after="120"/>
      <w:outlineLvl w:val="2"/>
    </w:pPr>
    <w:rPr>
      <w:rFonts w:ascii="Avenir LT Std 55 Roman" w:eastAsiaTheme="majorEastAsia" w:hAnsi="Avenir LT Std 55 Roman" w:cstheme="majorBidi"/>
      <w:color w:val="114D61"/>
      <w:sz w:val="24"/>
      <w:szCs w:val="24"/>
    </w:rPr>
  </w:style>
  <w:style w:type="paragraph" w:styleId="Titre4">
    <w:name w:val="heading 4"/>
    <w:basedOn w:val="Normal"/>
    <w:next w:val="Normal"/>
    <w:link w:val="Titre4Car"/>
    <w:uiPriority w:val="9"/>
    <w:unhideWhenUsed/>
    <w:qFormat/>
    <w:rsid w:val="00426EE7"/>
    <w:pPr>
      <w:keepNext/>
      <w:keepLines/>
      <w:spacing w:before="40" w:after="0"/>
      <w:outlineLvl w:val="3"/>
    </w:pPr>
    <w:rPr>
      <w:rFonts w:eastAsiaTheme="majorEastAsia" w:cstheme="majorBidi"/>
      <w:i/>
      <w:iCs/>
      <w:color w:val="114D6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628A9"/>
    <w:pPr>
      <w:ind w:left="720"/>
      <w:contextualSpacing/>
    </w:pPr>
  </w:style>
  <w:style w:type="paragraph" w:styleId="En-tte">
    <w:name w:val="header"/>
    <w:basedOn w:val="Normal"/>
    <w:link w:val="En-tteCar"/>
    <w:uiPriority w:val="99"/>
    <w:unhideWhenUsed/>
    <w:rsid w:val="00CA6A76"/>
    <w:pPr>
      <w:tabs>
        <w:tab w:val="center" w:pos="4536"/>
        <w:tab w:val="right" w:pos="9072"/>
      </w:tabs>
      <w:spacing w:after="0" w:line="240" w:lineRule="auto"/>
    </w:pPr>
  </w:style>
  <w:style w:type="character" w:customStyle="1" w:styleId="En-tteCar">
    <w:name w:val="En-tête Car"/>
    <w:basedOn w:val="Policepardfaut"/>
    <w:link w:val="En-tte"/>
    <w:uiPriority w:val="99"/>
    <w:rsid w:val="00CA6A76"/>
  </w:style>
  <w:style w:type="paragraph" w:styleId="Pieddepage">
    <w:name w:val="footer"/>
    <w:basedOn w:val="Normal"/>
    <w:link w:val="PieddepageCar"/>
    <w:uiPriority w:val="99"/>
    <w:unhideWhenUsed/>
    <w:rsid w:val="00CA6A7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A6A76"/>
  </w:style>
  <w:style w:type="character" w:customStyle="1" w:styleId="Titre1Car">
    <w:name w:val="Titre 1 Car"/>
    <w:basedOn w:val="Policepardfaut"/>
    <w:link w:val="Titre1"/>
    <w:uiPriority w:val="9"/>
    <w:rsid w:val="0059135E"/>
    <w:rPr>
      <w:rFonts w:ascii="Avenir LT Std 65 Medium" w:eastAsiaTheme="majorEastAsia" w:hAnsi="Avenir LT Std 65 Medium" w:cstheme="majorBidi"/>
      <w:color w:val="114D61"/>
      <w:sz w:val="32"/>
      <w:szCs w:val="32"/>
    </w:rPr>
  </w:style>
  <w:style w:type="paragraph" w:styleId="Titre">
    <w:name w:val="Title"/>
    <w:basedOn w:val="Normal"/>
    <w:next w:val="Normal"/>
    <w:link w:val="TitreCar"/>
    <w:uiPriority w:val="10"/>
    <w:qFormat/>
    <w:rsid w:val="0059135E"/>
    <w:pPr>
      <w:spacing w:before="240" w:after="240" w:line="240" w:lineRule="auto"/>
    </w:pPr>
    <w:rPr>
      <w:rFonts w:ascii="Avenir LT Std 55 Roman" w:eastAsiaTheme="majorEastAsia" w:hAnsi="Avenir LT Std 55 Roman" w:cstheme="majorBidi"/>
      <w:caps/>
      <w:color w:val="A81815"/>
      <w:spacing w:val="-10"/>
      <w:kern w:val="28"/>
      <w:sz w:val="28"/>
      <w:szCs w:val="56"/>
    </w:rPr>
  </w:style>
  <w:style w:type="character" w:customStyle="1" w:styleId="TitreCar">
    <w:name w:val="Titre Car"/>
    <w:basedOn w:val="Policepardfaut"/>
    <w:link w:val="Titre"/>
    <w:uiPriority w:val="10"/>
    <w:rsid w:val="0059135E"/>
    <w:rPr>
      <w:rFonts w:ascii="Avenir LT Std 55 Roman" w:eastAsiaTheme="majorEastAsia" w:hAnsi="Avenir LT Std 55 Roman" w:cstheme="majorBidi"/>
      <w:caps/>
      <w:color w:val="A81815"/>
      <w:spacing w:val="-10"/>
      <w:kern w:val="28"/>
      <w:sz w:val="28"/>
      <w:szCs w:val="56"/>
    </w:rPr>
  </w:style>
  <w:style w:type="character" w:customStyle="1" w:styleId="Titre2Car">
    <w:name w:val="Titre 2 Car"/>
    <w:basedOn w:val="Policepardfaut"/>
    <w:link w:val="Titre2"/>
    <w:uiPriority w:val="9"/>
    <w:rsid w:val="001A74FE"/>
    <w:rPr>
      <w:rFonts w:ascii="Avenir LT Std 55 Roman" w:eastAsiaTheme="majorEastAsia" w:hAnsi="Avenir LT Std 55 Roman" w:cstheme="majorBidi"/>
      <w:color w:val="114D61"/>
      <w:sz w:val="26"/>
      <w:szCs w:val="26"/>
    </w:rPr>
  </w:style>
  <w:style w:type="character" w:customStyle="1" w:styleId="Titre3Car">
    <w:name w:val="Titre 3 Car"/>
    <w:basedOn w:val="Policepardfaut"/>
    <w:link w:val="Titre3"/>
    <w:uiPriority w:val="9"/>
    <w:rsid w:val="008429E2"/>
    <w:rPr>
      <w:rFonts w:ascii="Avenir LT Std 55 Roman" w:eastAsiaTheme="majorEastAsia" w:hAnsi="Avenir LT Std 55 Roman" w:cstheme="majorBidi"/>
      <w:color w:val="114D61"/>
      <w:sz w:val="24"/>
      <w:szCs w:val="24"/>
    </w:rPr>
  </w:style>
  <w:style w:type="character" w:customStyle="1" w:styleId="Titre4Car">
    <w:name w:val="Titre 4 Car"/>
    <w:basedOn w:val="Policepardfaut"/>
    <w:link w:val="Titre4"/>
    <w:uiPriority w:val="9"/>
    <w:rsid w:val="00426EE7"/>
    <w:rPr>
      <w:rFonts w:ascii="Avenir LT Std 35 Light" w:eastAsiaTheme="majorEastAsia" w:hAnsi="Avenir LT Std 35 Light" w:cstheme="majorBidi"/>
      <w:i/>
      <w:iCs/>
      <w:color w:val="114D61"/>
    </w:rPr>
  </w:style>
  <w:style w:type="character" w:styleId="Accentuationlgre">
    <w:name w:val="Subtle Emphasis"/>
    <w:uiPriority w:val="19"/>
    <w:qFormat/>
    <w:rsid w:val="00F07F17"/>
    <w:rPr>
      <w:color w:val="FFFFFF" w:themeColor="background1"/>
    </w:rPr>
  </w:style>
  <w:style w:type="character" w:styleId="Lienhypertexte">
    <w:name w:val="Hyperlink"/>
    <w:basedOn w:val="Policepardfaut"/>
    <w:uiPriority w:val="99"/>
    <w:unhideWhenUsed/>
    <w:rsid w:val="00352781"/>
    <w:rPr>
      <w:color w:val="0563C1"/>
      <w:u w:val="single"/>
    </w:rPr>
  </w:style>
  <w:style w:type="character" w:styleId="Mentionnonrsolue">
    <w:name w:val="Unresolved Mention"/>
    <w:basedOn w:val="Policepardfaut"/>
    <w:uiPriority w:val="99"/>
    <w:semiHidden/>
    <w:unhideWhenUsed/>
    <w:rsid w:val="002A0BAD"/>
    <w:rPr>
      <w:color w:val="605E5C"/>
      <w:shd w:val="clear" w:color="auto" w:fill="E1DFDD"/>
    </w:rPr>
  </w:style>
  <w:style w:type="paragraph" w:styleId="Textedebulles">
    <w:name w:val="Balloon Text"/>
    <w:basedOn w:val="Normal"/>
    <w:link w:val="TextedebullesCar"/>
    <w:uiPriority w:val="99"/>
    <w:semiHidden/>
    <w:unhideWhenUsed/>
    <w:rsid w:val="00FA601D"/>
    <w:pPr>
      <w:spacing w:before="0"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A601D"/>
    <w:rPr>
      <w:rFonts w:ascii="Segoe UI" w:hAnsi="Segoe UI" w:cs="Segoe UI"/>
      <w:sz w:val="18"/>
      <w:szCs w:val="18"/>
    </w:rPr>
  </w:style>
  <w:style w:type="character" w:styleId="Lienhypertextesuivivisit">
    <w:name w:val="FollowedHyperlink"/>
    <w:basedOn w:val="Policepardfaut"/>
    <w:uiPriority w:val="99"/>
    <w:semiHidden/>
    <w:unhideWhenUsed/>
    <w:rsid w:val="003D490E"/>
    <w:rPr>
      <w:color w:val="954F72" w:themeColor="followedHyperlink"/>
      <w:u w:val="single"/>
    </w:rPr>
  </w:style>
  <w:style w:type="character" w:styleId="Textedelespacerserv">
    <w:name w:val="Placeholder Text"/>
    <w:basedOn w:val="Policepardfaut"/>
    <w:uiPriority w:val="99"/>
    <w:semiHidden/>
    <w:rsid w:val="00433E44"/>
    <w:rPr>
      <w:color w:val="808080"/>
    </w:rPr>
  </w:style>
  <w:style w:type="character" w:styleId="Marquedecommentaire">
    <w:name w:val="annotation reference"/>
    <w:basedOn w:val="Policepardfaut"/>
    <w:uiPriority w:val="99"/>
    <w:semiHidden/>
    <w:unhideWhenUsed/>
    <w:rsid w:val="003E6024"/>
    <w:rPr>
      <w:sz w:val="16"/>
      <w:szCs w:val="16"/>
    </w:rPr>
  </w:style>
  <w:style w:type="paragraph" w:styleId="Commentaire">
    <w:name w:val="annotation text"/>
    <w:basedOn w:val="Normal"/>
    <w:link w:val="CommentaireCar"/>
    <w:uiPriority w:val="99"/>
    <w:semiHidden/>
    <w:unhideWhenUsed/>
    <w:rsid w:val="003E6024"/>
    <w:pPr>
      <w:spacing w:line="240" w:lineRule="auto"/>
    </w:pPr>
    <w:rPr>
      <w:sz w:val="20"/>
      <w:szCs w:val="20"/>
    </w:rPr>
  </w:style>
  <w:style w:type="character" w:customStyle="1" w:styleId="CommentaireCar">
    <w:name w:val="Commentaire Car"/>
    <w:basedOn w:val="Policepardfaut"/>
    <w:link w:val="Commentaire"/>
    <w:uiPriority w:val="99"/>
    <w:semiHidden/>
    <w:rsid w:val="003E6024"/>
    <w:rPr>
      <w:rFonts w:ascii="Avenir LT Std 35 Light" w:hAnsi="Avenir LT Std 35 Light"/>
      <w:sz w:val="20"/>
      <w:szCs w:val="20"/>
    </w:rPr>
  </w:style>
  <w:style w:type="paragraph" w:styleId="Objetducommentaire">
    <w:name w:val="annotation subject"/>
    <w:basedOn w:val="Commentaire"/>
    <w:next w:val="Commentaire"/>
    <w:link w:val="ObjetducommentaireCar"/>
    <w:uiPriority w:val="99"/>
    <w:semiHidden/>
    <w:unhideWhenUsed/>
    <w:rsid w:val="003E6024"/>
    <w:rPr>
      <w:b/>
      <w:bCs/>
    </w:rPr>
  </w:style>
  <w:style w:type="character" w:customStyle="1" w:styleId="ObjetducommentaireCar">
    <w:name w:val="Objet du commentaire Car"/>
    <w:basedOn w:val="CommentaireCar"/>
    <w:link w:val="Objetducommentaire"/>
    <w:uiPriority w:val="99"/>
    <w:semiHidden/>
    <w:rsid w:val="003E6024"/>
    <w:rPr>
      <w:rFonts w:ascii="Avenir LT Std 35 Light" w:hAnsi="Avenir LT Std 35 Light"/>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10556">
      <w:bodyDiv w:val="1"/>
      <w:marLeft w:val="0"/>
      <w:marRight w:val="0"/>
      <w:marTop w:val="0"/>
      <w:marBottom w:val="0"/>
      <w:divBdr>
        <w:top w:val="none" w:sz="0" w:space="0" w:color="auto"/>
        <w:left w:val="none" w:sz="0" w:space="0" w:color="auto"/>
        <w:bottom w:val="none" w:sz="0" w:space="0" w:color="auto"/>
        <w:right w:val="none" w:sz="0" w:space="0" w:color="auto"/>
      </w:divBdr>
    </w:div>
    <w:div w:id="164828081">
      <w:bodyDiv w:val="1"/>
      <w:marLeft w:val="0"/>
      <w:marRight w:val="0"/>
      <w:marTop w:val="0"/>
      <w:marBottom w:val="0"/>
      <w:divBdr>
        <w:top w:val="none" w:sz="0" w:space="0" w:color="auto"/>
        <w:left w:val="none" w:sz="0" w:space="0" w:color="auto"/>
        <w:bottom w:val="none" w:sz="0" w:space="0" w:color="auto"/>
        <w:right w:val="none" w:sz="0" w:space="0" w:color="auto"/>
      </w:divBdr>
    </w:div>
    <w:div w:id="252325272">
      <w:bodyDiv w:val="1"/>
      <w:marLeft w:val="0"/>
      <w:marRight w:val="0"/>
      <w:marTop w:val="0"/>
      <w:marBottom w:val="0"/>
      <w:divBdr>
        <w:top w:val="none" w:sz="0" w:space="0" w:color="auto"/>
        <w:left w:val="none" w:sz="0" w:space="0" w:color="auto"/>
        <w:bottom w:val="none" w:sz="0" w:space="0" w:color="auto"/>
        <w:right w:val="none" w:sz="0" w:space="0" w:color="auto"/>
      </w:divBdr>
    </w:div>
    <w:div w:id="468330898">
      <w:bodyDiv w:val="1"/>
      <w:marLeft w:val="0"/>
      <w:marRight w:val="0"/>
      <w:marTop w:val="0"/>
      <w:marBottom w:val="0"/>
      <w:divBdr>
        <w:top w:val="none" w:sz="0" w:space="0" w:color="auto"/>
        <w:left w:val="none" w:sz="0" w:space="0" w:color="auto"/>
        <w:bottom w:val="none" w:sz="0" w:space="0" w:color="auto"/>
        <w:right w:val="none" w:sz="0" w:space="0" w:color="auto"/>
      </w:divBdr>
    </w:div>
    <w:div w:id="640496396">
      <w:bodyDiv w:val="1"/>
      <w:marLeft w:val="0"/>
      <w:marRight w:val="0"/>
      <w:marTop w:val="0"/>
      <w:marBottom w:val="0"/>
      <w:divBdr>
        <w:top w:val="none" w:sz="0" w:space="0" w:color="auto"/>
        <w:left w:val="none" w:sz="0" w:space="0" w:color="auto"/>
        <w:bottom w:val="none" w:sz="0" w:space="0" w:color="auto"/>
        <w:right w:val="none" w:sz="0" w:space="0" w:color="auto"/>
      </w:divBdr>
    </w:div>
    <w:div w:id="772365499">
      <w:bodyDiv w:val="1"/>
      <w:marLeft w:val="0"/>
      <w:marRight w:val="0"/>
      <w:marTop w:val="0"/>
      <w:marBottom w:val="0"/>
      <w:divBdr>
        <w:top w:val="none" w:sz="0" w:space="0" w:color="auto"/>
        <w:left w:val="none" w:sz="0" w:space="0" w:color="auto"/>
        <w:bottom w:val="none" w:sz="0" w:space="0" w:color="auto"/>
        <w:right w:val="none" w:sz="0" w:space="0" w:color="auto"/>
      </w:divBdr>
    </w:div>
    <w:div w:id="835420023">
      <w:bodyDiv w:val="1"/>
      <w:marLeft w:val="0"/>
      <w:marRight w:val="0"/>
      <w:marTop w:val="0"/>
      <w:marBottom w:val="0"/>
      <w:divBdr>
        <w:top w:val="none" w:sz="0" w:space="0" w:color="auto"/>
        <w:left w:val="none" w:sz="0" w:space="0" w:color="auto"/>
        <w:bottom w:val="none" w:sz="0" w:space="0" w:color="auto"/>
        <w:right w:val="none" w:sz="0" w:space="0" w:color="auto"/>
      </w:divBdr>
    </w:div>
    <w:div w:id="922108743">
      <w:bodyDiv w:val="1"/>
      <w:marLeft w:val="0"/>
      <w:marRight w:val="0"/>
      <w:marTop w:val="0"/>
      <w:marBottom w:val="0"/>
      <w:divBdr>
        <w:top w:val="none" w:sz="0" w:space="0" w:color="auto"/>
        <w:left w:val="none" w:sz="0" w:space="0" w:color="auto"/>
        <w:bottom w:val="none" w:sz="0" w:space="0" w:color="auto"/>
        <w:right w:val="none" w:sz="0" w:space="0" w:color="auto"/>
      </w:divBdr>
    </w:div>
    <w:div w:id="1248227471">
      <w:bodyDiv w:val="1"/>
      <w:marLeft w:val="0"/>
      <w:marRight w:val="0"/>
      <w:marTop w:val="0"/>
      <w:marBottom w:val="0"/>
      <w:divBdr>
        <w:top w:val="none" w:sz="0" w:space="0" w:color="auto"/>
        <w:left w:val="none" w:sz="0" w:space="0" w:color="auto"/>
        <w:bottom w:val="none" w:sz="0" w:space="0" w:color="auto"/>
        <w:right w:val="none" w:sz="0" w:space="0" w:color="auto"/>
      </w:divBdr>
    </w:div>
    <w:div w:id="1546410503">
      <w:bodyDiv w:val="1"/>
      <w:marLeft w:val="0"/>
      <w:marRight w:val="0"/>
      <w:marTop w:val="0"/>
      <w:marBottom w:val="0"/>
      <w:divBdr>
        <w:top w:val="none" w:sz="0" w:space="0" w:color="auto"/>
        <w:left w:val="none" w:sz="0" w:space="0" w:color="auto"/>
        <w:bottom w:val="none" w:sz="0" w:space="0" w:color="auto"/>
        <w:right w:val="none" w:sz="0" w:space="0" w:color="auto"/>
      </w:divBdr>
    </w:div>
    <w:div w:id="1784029602">
      <w:bodyDiv w:val="1"/>
      <w:marLeft w:val="0"/>
      <w:marRight w:val="0"/>
      <w:marTop w:val="0"/>
      <w:marBottom w:val="0"/>
      <w:divBdr>
        <w:top w:val="none" w:sz="0" w:space="0" w:color="auto"/>
        <w:left w:val="none" w:sz="0" w:space="0" w:color="auto"/>
        <w:bottom w:val="none" w:sz="0" w:space="0" w:color="auto"/>
        <w:right w:val="none" w:sz="0" w:space="0" w:color="auto"/>
      </w:divBdr>
    </w:div>
    <w:div w:id="1955213292">
      <w:bodyDiv w:val="1"/>
      <w:marLeft w:val="0"/>
      <w:marRight w:val="0"/>
      <w:marTop w:val="0"/>
      <w:marBottom w:val="0"/>
      <w:divBdr>
        <w:top w:val="none" w:sz="0" w:space="0" w:color="auto"/>
        <w:left w:val="none" w:sz="0" w:space="0" w:color="auto"/>
        <w:bottom w:val="none" w:sz="0" w:space="0" w:color="auto"/>
        <w:right w:val="none" w:sz="0" w:space="0" w:color="auto"/>
      </w:divBdr>
    </w:div>
    <w:div w:id="2056855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egifrance.gouv.fr/jorf/id/JORFTEXT00004371540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france.gouv.fr/jorf/id/JORFTEXT00004371540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legifrance.gouv.fr/jorf/id/JORFTEXT000043306112" TargetMode="External"/><Relationship Id="rId4" Type="http://schemas.openxmlformats.org/officeDocument/2006/relationships/settings" Target="settings.xml"/><Relationship Id="rId9" Type="http://schemas.openxmlformats.org/officeDocument/2006/relationships/image" Target="cid:93B497F7-97B6-467D-BF54-554E16532EF5"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4C1F5E-667D-4490-A083-72D75A2CF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1452</Words>
  <Characters>7986</Characters>
  <Application>Microsoft Office Word</Application>
  <DocSecurity>4</DocSecurity>
  <Lines>66</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Anne-Victoire Chaumet</dc:creator>
  <cp:keywords/>
  <dc:description/>
  <cp:lastModifiedBy>Manon Ledez</cp:lastModifiedBy>
  <cp:revision>2</cp:revision>
  <dcterms:created xsi:type="dcterms:W3CDTF">2021-07-01T13:10:00Z</dcterms:created>
  <dcterms:modified xsi:type="dcterms:W3CDTF">2021-07-01T13:10:00Z</dcterms:modified>
</cp:coreProperties>
</file>