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6EE2" w14:textId="77777777" w:rsidR="0001329E" w:rsidRDefault="0001329E" w:rsidP="0001329E">
      <w:pPr>
        <w:jc w:val="center"/>
        <w:rPr>
          <w:rFonts w:ascii="Verdana" w:hAnsi="Verdana"/>
          <w:b/>
          <w:bCs/>
          <w:color w:val="C00000"/>
          <w:sz w:val="20"/>
          <w:szCs w:val="20"/>
        </w:rPr>
      </w:pPr>
      <w:r>
        <w:rPr>
          <w:rFonts w:ascii="Verdana" w:hAnsi="Verdana"/>
          <w:b/>
          <w:bCs/>
          <w:color w:val="C00000"/>
          <w:sz w:val="20"/>
          <w:szCs w:val="20"/>
        </w:rPr>
        <w:t xml:space="preserve">Synthèse des annonces économiques et sociales de </w:t>
      </w:r>
      <w:proofErr w:type="spellStart"/>
      <w:r>
        <w:rPr>
          <w:rFonts w:ascii="Verdana" w:hAnsi="Verdana"/>
          <w:b/>
          <w:bCs/>
          <w:color w:val="C00000"/>
          <w:sz w:val="20"/>
          <w:szCs w:val="20"/>
        </w:rPr>
        <w:t>reconfinement</w:t>
      </w:r>
      <w:proofErr w:type="spellEnd"/>
      <w:r>
        <w:rPr>
          <w:rFonts w:ascii="Verdana" w:hAnsi="Verdana"/>
          <w:b/>
          <w:bCs/>
          <w:color w:val="C00000"/>
          <w:sz w:val="20"/>
          <w:szCs w:val="20"/>
        </w:rPr>
        <w:t> :</w:t>
      </w:r>
    </w:p>
    <w:p w14:paraId="78E5AE57" w14:textId="3CC68BFE" w:rsidR="0001329E" w:rsidRDefault="0001329E" w:rsidP="0001329E">
      <w:pPr>
        <w:jc w:val="center"/>
      </w:pPr>
      <w:r>
        <w:rPr>
          <w:rFonts w:ascii="Verdana" w:hAnsi="Verdana"/>
          <w:b/>
          <w:bCs/>
          <w:color w:val="C00000"/>
          <w:sz w:val="20"/>
          <w:szCs w:val="20"/>
        </w:rPr>
        <w:t xml:space="preserve"> conférence de presse du gouvernement du 29 octobre 18h30</w:t>
      </w:r>
    </w:p>
    <w:p w14:paraId="1E5E4521" w14:textId="77777777" w:rsidR="0001329E" w:rsidRDefault="0001329E" w:rsidP="0001329E">
      <w:r>
        <w:rPr>
          <w:rFonts w:ascii="Verdana" w:hAnsi="Verdana"/>
          <w:sz w:val="20"/>
          <w:szCs w:val="20"/>
        </w:rPr>
        <w:t> </w:t>
      </w:r>
    </w:p>
    <w:p w14:paraId="0CEF573A" w14:textId="77777777" w:rsidR="0001329E" w:rsidRDefault="0001329E" w:rsidP="0001329E">
      <w:pPr>
        <w:rPr>
          <w:rFonts w:ascii="Verdana" w:hAnsi="Verdana"/>
          <w:b/>
          <w:bCs/>
          <w:sz w:val="20"/>
          <w:szCs w:val="20"/>
        </w:rPr>
      </w:pPr>
    </w:p>
    <w:p w14:paraId="218ED0D7" w14:textId="0DABA541" w:rsidR="0001329E" w:rsidRDefault="0001329E" w:rsidP="0001329E">
      <w:r>
        <w:rPr>
          <w:rFonts w:ascii="Verdana" w:hAnsi="Verdana"/>
          <w:b/>
          <w:bCs/>
          <w:sz w:val="20"/>
          <w:szCs w:val="20"/>
        </w:rPr>
        <w:t>Jean Castex</w:t>
      </w:r>
    </w:p>
    <w:p w14:paraId="7EEE9760" w14:textId="77777777" w:rsidR="0001329E" w:rsidRDefault="0001329E" w:rsidP="0001329E">
      <w:r>
        <w:rPr>
          <w:rFonts w:ascii="Verdana" w:hAnsi="Verdana"/>
          <w:sz w:val="20"/>
          <w:szCs w:val="20"/>
        </w:rPr>
        <w:t> </w:t>
      </w:r>
    </w:p>
    <w:p w14:paraId="223244D3" w14:textId="77777777" w:rsidR="0001329E" w:rsidRDefault="0001329E" w:rsidP="0001329E">
      <w:pPr>
        <w:pStyle w:val="Paragraphedeliste"/>
        <w:numPr>
          <w:ilvl w:val="0"/>
          <w:numId w:val="1"/>
        </w:numPr>
        <w:rPr>
          <w:rFonts w:eastAsia="Times New Roman"/>
        </w:rPr>
      </w:pPr>
      <w:proofErr w:type="spellStart"/>
      <w:r>
        <w:rPr>
          <w:rFonts w:ascii="Verdana" w:eastAsia="Times New Roman" w:hAnsi="Verdana"/>
          <w:sz w:val="20"/>
          <w:szCs w:val="20"/>
        </w:rPr>
        <w:t>Reconfinement</w:t>
      </w:r>
      <w:proofErr w:type="spellEnd"/>
      <w:r>
        <w:rPr>
          <w:rFonts w:ascii="Verdana" w:eastAsia="Times New Roman" w:hAnsi="Verdana"/>
          <w:sz w:val="20"/>
          <w:szCs w:val="20"/>
        </w:rPr>
        <w:t xml:space="preserve"> démarre ce soir à minuit jusqu’au 1</w:t>
      </w:r>
      <w:r>
        <w:rPr>
          <w:rFonts w:ascii="Verdana" w:eastAsia="Times New Roman" w:hAnsi="Verdana"/>
          <w:sz w:val="20"/>
          <w:szCs w:val="20"/>
          <w:vertAlign w:val="superscript"/>
        </w:rPr>
        <w:t>er</w:t>
      </w:r>
      <w:r>
        <w:rPr>
          <w:rFonts w:ascii="Verdana" w:eastAsia="Times New Roman" w:hAnsi="Verdana"/>
          <w:sz w:val="20"/>
          <w:szCs w:val="20"/>
        </w:rPr>
        <w:t xml:space="preserve"> décembre</w:t>
      </w:r>
      <w:r>
        <w:rPr>
          <w:rFonts w:ascii="Verdana" w:eastAsia="Times New Roman" w:hAnsi="Verdana"/>
          <w:sz w:val="20"/>
          <w:szCs w:val="20"/>
        </w:rPr>
        <w:br/>
      </w:r>
      <w:r>
        <w:rPr>
          <w:rFonts w:ascii="Verdana" w:eastAsia="Times New Roman" w:hAnsi="Verdana"/>
          <w:sz w:val="20"/>
          <w:szCs w:val="20"/>
        </w:rPr>
        <w:br/>
      </w:r>
    </w:p>
    <w:p w14:paraId="7D870B5F"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 xml:space="preserve">Mise en place de l’attestation permanente de l’employeur pour les trajets domicile – travail </w:t>
      </w:r>
      <w:r>
        <w:rPr>
          <w:rFonts w:ascii="Verdana" w:eastAsia="Times New Roman" w:hAnsi="Verdana"/>
          <w:sz w:val="20"/>
          <w:szCs w:val="20"/>
        </w:rPr>
        <w:br/>
      </w:r>
      <w:r>
        <w:rPr>
          <w:rFonts w:ascii="Verdana" w:eastAsia="Times New Roman" w:hAnsi="Verdana"/>
          <w:sz w:val="20"/>
          <w:szCs w:val="20"/>
        </w:rPr>
        <w:br/>
      </w:r>
    </w:p>
    <w:p w14:paraId="40CC289C"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Listes complètes des secteurs fermés et de ceux qui ont une dérogation pour ouvrir sur le site seront disponibles sur le site du gouvernement</w:t>
      </w:r>
      <w:r>
        <w:rPr>
          <w:rFonts w:ascii="Verdana" w:eastAsia="Times New Roman" w:hAnsi="Verdana"/>
          <w:sz w:val="20"/>
          <w:szCs w:val="20"/>
        </w:rPr>
        <w:br/>
      </w:r>
      <w:r>
        <w:rPr>
          <w:rFonts w:ascii="Verdana" w:eastAsia="Times New Roman" w:hAnsi="Verdana"/>
          <w:sz w:val="20"/>
          <w:szCs w:val="20"/>
        </w:rPr>
        <w:br/>
      </w:r>
    </w:p>
    <w:p w14:paraId="733EAE21"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Commerces fermés : possibilité de continuer les activités de retrait et de livraison de marchandises à emporter</w:t>
      </w:r>
      <w:r>
        <w:rPr>
          <w:rFonts w:ascii="Verdana" w:eastAsia="Times New Roman" w:hAnsi="Verdana"/>
          <w:sz w:val="20"/>
          <w:szCs w:val="20"/>
        </w:rPr>
        <w:br/>
      </w:r>
      <w:r>
        <w:rPr>
          <w:rFonts w:ascii="Verdana" w:eastAsia="Times New Roman" w:hAnsi="Verdana"/>
          <w:sz w:val="20"/>
          <w:szCs w:val="20"/>
        </w:rPr>
        <w:br/>
      </w:r>
    </w:p>
    <w:p w14:paraId="46AB1070"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De la crèche au lycée et les activités périscolaires continuent avec protocole sanitaire renforcé</w:t>
      </w:r>
      <w:r>
        <w:rPr>
          <w:rFonts w:ascii="Verdana" w:eastAsia="Times New Roman" w:hAnsi="Verdana"/>
          <w:sz w:val="20"/>
          <w:szCs w:val="20"/>
        </w:rPr>
        <w:br/>
      </w:r>
      <w:r>
        <w:rPr>
          <w:rFonts w:ascii="Verdana" w:eastAsia="Times New Roman" w:hAnsi="Verdana"/>
          <w:sz w:val="20"/>
          <w:szCs w:val="20"/>
        </w:rPr>
        <w:br/>
      </w:r>
    </w:p>
    <w:p w14:paraId="2BA27A9F" w14:textId="77777777" w:rsidR="0001329E" w:rsidRDefault="0001329E" w:rsidP="0001329E">
      <w:r>
        <w:rPr>
          <w:rFonts w:ascii="Verdana" w:hAnsi="Verdana"/>
          <w:sz w:val="20"/>
          <w:szCs w:val="20"/>
        </w:rPr>
        <w:t> </w:t>
      </w:r>
    </w:p>
    <w:p w14:paraId="1346E8C0" w14:textId="77777777" w:rsidR="0001329E" w:rsidRDefault="0001329E" w:rsidP="0001329E">
      <w:r>
        <w:rPr>
          <w:rFonts w:ascii="Verdana" w:hAnsi="Verdana"/>
          <w:b/>
          <w:bCs/>
          <w:sz w:val="20"/>
          <w:szCs w:val="20"/>
        </w:rPr>
        <w:t>Elisabeth Borne</w:t>
      </w:r>
    </w:p>
    <w:p w14:paraId="225BD010" w14:textId="77777777" w:rsidR="0001329E" w:rsidRDefault="0001329E" w:rsidP="0001329E">
      <w:r>
        <w:rPr>
          <w:rFonts w:ascii="Verdana" w:hAnsi="Verdana"/>
          <w:sz w:val="20"/>
          <w:szCs w:val="20"/>
        </w:rPr>
        <w:t> </w:t>
      </w:r>
    </w:p>
    <w:p w14:paraId="3749C623"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Le télétravail est obligatoire 5 jours sur 5 quand il est possible</w:t>
      </w:r>
      <w:r>
        <w:rPr>
          <w:rFonts w:ascii="Verdana" w:eastAsia="Times New Roman" w:hAnsi="Verdana"/>
          <w:sz w:val="20"/>
          <w:szCs w:val="20"/>
        </w:rPr>
        <w:br/>
      </w:r>
      <w:r>
        <w:rPr>
          <w:rFonts w:ascii="Verdana" w:eastAsia="Times New Roman" w:hAnsi="Verdana"/>
          <w:sz w:val="20"/>
          <w:szCs w:val="20"/>
        </w:rPr>
        <w:br/>
      </w:r>
    </w:p>
    <w:p w14:paraId="2442FBC4"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 xml:space="preserve">Lorsque certaines activités ne peuvent pas être faites par télétravail (bureau d’étude, architecte, etc.) une partie du temps peut être effectuée en entreprise mais de manière limitée avec attestation de l’employeur </w:t>
      </w:r>
      <w:r>
        <w:rPr>
          <w:rFonts w:ascii="Verdana" w:eastAsia="Times New Roman" w:hAnsi="Verdana"/>
          <w:sz w:val="20"/>
          <w:szCs w:val="20"/>
        </w:rPr>
        <w:br/>
      </w:r>
      <w:r>
        <w:rPr>
          <w:rFonts w:ascii="Verdana" w:eastAsia="Times New Roman" w:hAnsi="Verdana"/>
          <w:sz w:val="20"/>
          <w:szCs w:val="20"/>
        </w:rPr>
        <w:br/>
      </w:r>
    </w:p>
    <w:p w14:paraId="38C159E2"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Lorsque le télétravail n’est pas possible, l’employeur doit aménager les horaires pour limiter l’affluence</w:t>
      </w:r>
      <w:r>
        <w:rPr>
          <w:rFonts w:ascii="Verdana" w:eastAsia="Times New Roman" w:hAnsi="Verdana"/>
          <w:sz w:val="20"/>
          <w:szCs w:val="20"/>
        </w:rPr>
        <w:br/>
      </w:r>
      <w:r>
        <w:rPr>
          <w:rFonts w:ascii="Verdana" w:eastAsia="Times New Roman" w:hAnsi="Verdana"/>
          <w:sz w:val="20"/>
          <w:szCs w:val="20"/>
        </w:rPr>
        <w:br/>
      </w:r>
    </w:p>
    <w:p w14:paraId="6CA1F81C"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En entreprise, les réunions doivent se faire en visioconférence</w:t>
      </w:r>
      <w:r>
        <w:rPr>
          <w:rFonts w:ascii="Verdana" w:eastAsia="Times New Roman" w:hAnsi="Verdana"/>
          <w:sz w:val="20"/>
          <w:szCs w:val="20"/>
        </w:rPr>
        <w:br/>
      </w:r>
      <w:r>
        <w:rPr>
          <w:rFonts w:ascii="Verdana" w:eastAsia="Times New Roman" w:hAnsi="Verdana"/>
          <w:sz w:val="20"/>
          <w:szCs w:val="20"/>
        </w:rPr>
        <w:br/>
      </w:r>
    </w:p>
    <w:p w14:paraId="1CB82F2D"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Les moments de convivialité sont interdits, pas de restauration collective</w:t>
      </w:r>
      <w:r>
        <w:rPr>
          <w:rFonts w:ascii="Verdana" w:eastAsia="Times New Roman" w:hAnsi="Verdana"/>
          <w:sz w:val="20"/>
          <w:szCs w:val="20"/>
        </w:rPr>
        <w:br/>
      </w:r>
      <w:r>
        <w:rPr>
          <w:rFonts w:ascii="Verdana" w:eastAsia="Times New Roman" w:hAnsi="Verdana"/>
          <w:sz w:val="20"/>
          <w:szCs w:val="20"/>
        </w:rPr>
        <w:br/>
      </w:r>
    </w:p>
    <w:p w14:paraId="60F6A57E"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 xml:space="preserve">La gestion des cas contacts doit être faite par l’employeur avec l’application </w:t>
      </w:r>
      <w:proofErr w:type="spellStart"/>
      <w:r>
        <w:rPr>
          <w:rFonts w:ascii="Verdana" w:eastAsia="Times New Roman" w:hAnsi="Verdana"/>
          <w:sz w:val="20"/>
          <w:szCs w:val="20"/>
        </w:rPr>
        <w:t>TousAntiCovid</w:t>
      </w:r>
      <w:proofErr w:type="spellEnd"/>
    </w:p>
    <w:p w14:paraId="7137ABEF" w14:textId="77777777" w:rsidR="0001329E" w:rsidRDefault="0001329E" w:rsidP="0001329E">
      <w:r>
        <w:rPr>
          <w:rFonts w:ascii="Verdana" w:hAnsi="Verdana"/>
          <w:sz w:val="20"/>
          <w:szCs w:val="20"/>
        </w:rPr>
        <w:t> </w:t>
      </w:r>
    </w:p>
    <w:p w14:paraId="7FCBF5DE" w14:textId="77777777" w:rsidR="0001329E" w:rsidRDefault="0001329E" w:rsidP="0001329E">
      <w:r>
        <w:rPr>
          <w:rFonts w:ascii="Verdana" w:hAnsi="Verdana"/>
          <w:b/>
          <w:bCs/>
          <w:color w:val="114D61"/>
          <w:sz w:val="20"/>
          <w:szCs w:val="20"/>
        </w:rPr>
        <w:t>&gt;Activité partielle :</w:t>
      </w:r>
    </w:p>
    <w:p w14:paraId="4EA44434" w14:textId="77777777" w:rsidR="0001329E" w:rsidRDefault="0001329E" w:rsidP="0001329E">
      <w:pPr>
        <w:pStyle w:val="Paragraphedeliste"/>
      </w:pPr>
      <w:r>
        <w:rPr>
          <w:rFonts w:ascii="Verdana" w:hAnsi="Verdana"/>
          <w:sz w:val="20"/>
          <w:szCs w:val="20"/>
        </w:rPr>
        <w:t> </w:t>
      </w:r>
    </w:p>
    <w:p w14:paraId="0ED950CA"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Tous les secteurs protégés et fermés bénéficient de l’activité partielle avec reste à charge nul pour l’employeur</w:t>
      </w:r>
    </w:p>
    <w:p w14:paraId="41FD1D50" w14:textId="77777777" w:rsidR="0001329E" w:rsidRDefault="0001329E" w:rsidP="0001329E">
      <w:pPr>
        <w:pStyle w:val="Paragraphedeliste"/>
      </w:pPr>
      <w:r>
        <w:rPr>
          <w:rFonts w:ascii="Verdana" w:hAnsi="Verdana"/>
          <w:sz w:val="20"/>
          <w:szCs w:val="20"/>
        </w:rPr>
        <w:t> </w:t>
      </w:r>
    </w:p>
    <w:p w14:paraId="265A6E4A"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lastRenderedPageBreak/>
        <w:t>Tous les autres bénéficient du dispositif d’activité partielle maintenu jusqu’au 31/12</w:t>
      </w:r>
    </w:p>
    <w:p w14:paraId="7645D9C2" w14:textId="77777777" w:rsidR="0001329E" w:rsidRDefault="0001329E" w:rsidP="0001329E">
      <w:pPr>
        <w:pStyle w:val="Paragraphedeliste"/>
      </w:pPr>
      <w:r>
        <w:rPr>
          <w:rFonts w:ascii="Verdana" w:hAnsi="Verdana"/>
          <w:sz w:val="20"/>
          <w:szCs w:val="20"/>
        </w:rPr>
        <w:t> </w:t>
      </w:r>
    </w:p>
    <w:p w14:paraId="70BFCF40" w14:textId="77777777" w:rsidR="0001329E" w:rsidRDefault="0001329E" w:rsidP="0001329E">
      <w:pPr>
        <w:pStyle w:val="Paragraphedeliste"/>
      </w:pPr>
      <w:r>
        <w:rPr>
          <w:rFonts w:ascii="Verdana" w:hAnsi="Verdana"/>
          <w:sz w:val="20"/>
          <w:szCs w:val="20"/>
        </w:rPr>
        <w:t> </w:t>
      </w:r>
    </w:p>
    <w:p w14:paraId="097EBA1F" w14:textId="77777777" w:rsidR="0001329E" w:rsidRDefault="0001329E" w:rsidP="0001329E">
      <w:r>
        <w:rPr>
          <w:rFonts w:ascii="Verdana" w:hAnsi="Verdana"/>
          <w:b/>
          <w:bCs/>
          <w:sz w:val="20"/>
          <w:szCs w:val="20"/>
        </w:rPr>
        <w:t>Bruno Le Maire</w:t>
      </w:r>
    </w:p>
    <w:p w14:paraId="5DB6F214" w14:textId="77777777" w:rsidR="0001329E" w:rsidRDefault="0001329E" w:rsidP="0001329E">
      <w:r>
        <w:rPr>
          <w:rFonts w:ascii="Verdana" w:hAnsi="Verdana"/>
          <w:sz w:val="20"/>
          <w:szCs w:val="20"/>
        </w:rPr>
        <w:t> </w:t>
      </w:r>
    </w:p>
    <w:p w14:paraId="4E71D9A8" w14:textId="77777777" w:rsidR="0001329E" w:rsidRDefault="0001329E" w:rsidP="0001329E">
      <w:r>
        <w:rPr>
          <w:rFonts w:ascii="Verdana" w:hAnsi="Verdana"/>
          <w:sz w:val="20"/>
          <w:szCs w:val="20"/>
        </w:rPr>
        <w:t xml:space="preserve">Rétablissement de la cellule de continuité économique. Aides à nouveau renforcées face à ce coup dur, en 5 volets : </w:t>
      </w:r>
    </w:p>
    <w:p w14:paraId="00B7ED8F" w14:textId="77777777" w:rsidR="0001329E" w:rsidRDefault="0001329E" w:rsidP="0001329E">
      <w:r>
        <w:rPr>
          <w:rFonts w:ascii="Verdana" w:hAnsi="Verdana"/>
          <w:color w:val="114D61"/>
          <w:sz w:val="20"/>
          <w:szCs w:val="20"/>
        </w:rPr>
        <w:t> </w:t>
      </w:r>
    </w:p>
    <w:p w14:paraId="2B212D2A" w14:textId="77777777" w:rsidR="0001329E" w:rsidRDefault="0001329E" w:rsidP="0001329E">
      <w:r>
        <w:rPr>
          <w:rFonts w:ascii="Verdana" w:hAnsi="Verdana"/>
          <w:b/>
          <w:bCs/>
          <w:color w:val="114D61"/>
          <w:sz w:val="20"/>
          <w:szCs w:val="20"/>
        </w:rPr>
        <w:t xml:space="preserve">1/ Fonds de solidarité : </w:t>
      </w:r>
      <w:r>
        <w:rPr>
          <w:rFonts w:ascii="Verdana" w:hAnsi="Verdana"/>
          <w:b/>
          <w:bCs/>
          <w:color w:val="114D61"/>
          <w:sz w:val="20"/>
          <w:szCs w:val="20"/>
        </w:rPr>
        <w:br/>
      </w:r>
      <w:r>
        <w:rPr>
          <w:rFonts w:ascii="Verdana" w:hAnsi="Verdana"/>
          <w:b/>
          <w:bCs/>
          <w:color w:val="114D61"/>
          <w:sz w:val="20"/>
          <w:szCs w:val="20"/>
        </w:rPr>
        <w:br/>
      </w:r>
    </w:p>
    <w:p w14:paraId="32CE702A"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Tous les commerces et entreprises fermés : indemnisation jusqu’à 10 000 € pour entreprises jusqu’à 50 salariés tous secteurs confondus</w:t>
      </w:r>
      <w:r>
        <w:rPr>
          <w:rFonts w:ascii="Verdana" w:eastAsia="Times New Roman" w:hAnsi="Verdana"/>
          <w:sz w:val="20"/>
          <w:szCs w:val="20"/>
        </w:rPr>
        <w:br/>
      </w:r>
      <w:r>
        <w:rPr>
          <w:rFonts w:ascii="Verdana" w:eastAsia="Times New Roman" w:hAnsi="Verdana"/>
          <w:sz w:val="20"/>
          <w:szCs w:val="20"/>
        </w:rPr>
        <w:br/>
      </w:r>
    </w:p>
    <w:p w14:paraId="34B1BA50"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 xml:space="preserve">Secteurs Tourisme, HCR, Culture, Sport, Evènementiel : si perte de 50% du CA, bénéficient aussi de cette indemnisation </w:t>
      </w:r>
      <w:r>
        <w:rPr>
          <w:rFonts w:ascii="Verdana" w:eastAsia="Times New Roman" w:hAnsi="Verdana"/>
          <w:sz w:val="20"/>
          <w:szCs w:val="20"/>
        </w:rPr>
        <w:br/>
      </w:r>
      <w:r>
        <w:rPr>
          <w:rFonts w:ascii="Verdana" w:eastAsia="Times New Roman" w:hAnsi="Verdana"/>
          <w:sz w:val="20"/>
          <w:szCs w:val="20"/>
        </w:rPr>
        <w:br/>
      </w:r>
    </w:p>
    <w:p w14:paraId="21454FFD"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Toutes les autres entreprises de moins de 50 salariés : si perte de 50% du CA, indemnisation de 1500 € par mois</w:t>
      </w:r>
    </w:p>
    <w:p w14:paraId="7B1A7296" w14:textId="77777777" w:rsidR="0001329E" w:rsidRDefault="0001329E" w:rsidP="0001329E">
      <w:r>
        <w:rPr>
          <w:rFonts w:ascii="Verdana" w:hAnsi="Verdana"/>
          <w:sz w:val="20"/>
          <w:szCs w:val="20"/>
        </w:rPr>
        <w:t> </w:t>
      </w:r>
    </w:p>
    <w:p w14:paraId="40AAEC9A" w14:textId="77777777" w:rsidR="0001329E" w:rsidRDefault="0001329E" w:rsidP="0001329E">
      <w:r>
        <w:rPr>
          <w:rFonts w:ascii="Verdana" w:hAnsi="Verdana"/>
          <w:sz w:val="20"/>
          <w:szCs w:val="20"/>
        </w:rPr>
        <w:t xml:space="preserve">Soit 6 milliards d’€ consacrés à ce nouveau FDS. </w:t>
      </w:r>
    </w:p>
    <w:p w14:paraId="784394CD" w14:textId="77777777" w:rsidR="0001329E" w:rsidRDefault="0001329E" w:rsidP="0001329E">
      <w:r>
        <w:rPr>
          <w:rFonts w:ascii="Verdana" w:hAnsi="Verdana"/>
          <w:sz w:val="20"/>
          <w:szCs w:val="20"/>
        </w:rPr>
        <w:t> </w:t>
      </w:r>
    </w:p>
    <w:p w14:paraId="53B079E7" w14:textId="77777777" w:rsidR="0001329E" w:rsidRDefault="0001329E" w:rsidP="0001329E">
      <w:r>
        <w:rPr>
          <w:rFonts w:ascii="Verdana" w:hAnsi="Verdana"/>
          <w:b/>
          <w:bCs/>
          <w:color w:val="114D61"/>
          <w:sz w:val="20"/>
          <w:szCs w:val="20"/>
        </w:rPr>
        <w:t xml:space="preserve">2/ Exonération et report de cotisations sociales : </w:t>
      </w:r>
    </w:p>
    <w:p w14:paraId="34416F75" w14:textId="77777777" w:rsidR="0001329E" w:rsidRDefault="0001329E" w:rsidP="0001329E">
      <w:r>
        <w:rPr>
          <w:rFonts w:ascii="Verdana" w:hAnsi="Verdana"/>
          <w:sz w:val="20"/>
          <w:szCs w:val="20"/>
        </w:rPr>
        <w:t> </w:t>
      </w:r>
    </w:p>
    <w:p w14:paraId="4D5D9B7E"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Pour les entreprises de moins de 50 salariés : exonération totale des cotisations sociales</w:t>
      </w:r>
      <w:r>
        <w:rPr>
          <w:rFonts w:ascii="Verdana" w:eastAsia="Times New Roman" w:hAnsi="Verdana"/>
          <w:sz w:val="20"/>
          <w:szCs w:val="20"/>
        </w:rPr>
        <w:br/>
      </w:r>
      <w:r>
        <w:rPr>
          <w:rFonts w:ascii="Verdana" w:eastAsia="Times New Roman" w:hAnsi="Verdana"/>
          <w:sz w:val="20"/>
          <w:szCs w:val="20"/>
        </w:rPr>
        <w:br/>
      </w:r>
    </w:p>
    <w:p w14:paraId="1B230F43"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Secteurs HCR, Culture, Sport, Evènementiel : si perte de 50% du CA, exonération totale de cotisations sociales</w:t>
      </w:r>
      <w:r>
        <w:rPr>
          <w:rFonts w:ascii="Verdana" w:eastAsia="Times New Roman" w:hAnsi="Verdana"/>
          <w:sz w:val="20"/>
          <w:szCs w:val="20"/>
        </w:rPr>
        <w:br/>
      </w:r>
      <w:r>
        <w:rPr>
          <w:rFonts w:ascii="Verdana" w:eastAsia="Times New Roman" w:hAnsi="Verdana"/>
          <w:sz w:val="20"/>
          <w:szCs w:val="20"/>
        </w:rPr>
        <w:br/>
      </w:r>
    </w:p>
    <w:p w14:paraId="2B0D32B1"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Indépendants : prélèvements suspendus, sans démarche administrative de leur part</w:t>
      </w:r>
      <w:r>
        <w:rPr>
          <w:rFonts w:ascii="Verdana" w:eastAsia="Times New Roman" w:hAnsi="Verdana"/>
          <w:sz w:val="20"/>
          <w:szCs w:val="20"/>
        </w:rPr>
        <w:br/>
      </w:r>
      <w:r>
        <w:rPr>
          <w:rFonts w:ascii="Verdana" w:eastAsia="Times New Roman" w:hAnsi="Verdana"/>
          <w:sz w:val="20"/>
          <w:szCs w:val="20"/>
        </w:rPr>
        <w:br/>
      </w:r>
    </w:p>
    <w:p w14:paraId="345E705E"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Traitement au cas par cas de ceux qui ont demandé un étalement de l’URSSAF</w:t>
      </w:r>
      <w:r>
        <w:rPr>
          <w:rFonts w:ascii="Verdana" w:eastAsia="Times New Roman" w:hAnsi="Verdana"/>
          <w:sz w:val="20"/>
          <w:szCs w:val="20"/>
        </w:rPr>
        <w:br/>
      </w:r>
      <w:r>
        <w:rPr>
          <w:rFonts w:ascii="Verdana" w:eastAsia="Times New Roman" w:hAnsi="Verdana"/>
          <w:sz w:val="20"/>
          <w:szCs w:val="20"/>
        </w:rPr>
        <w:br/>
      </w:r>
    </w:p>
    <w:p w14:paraId="2609853D" w14:textId="77777777" w:rsidR="0001329E" w:rsidRDefault="0001329E" w:rsidP="0001329E">
      <w:r>
        <w:rPr>
          <w:rFonts w:ascii="Verdana" w:hAnsi="Verdana"/>
          <w:sz w:val="20"/>
          <w:szCs w:val="20"/>
        </w:rPr>
        <w:t> </w:t>
      </w:r>
    </w:p>
    <w:p w14:paraId="56494CC0" w14:textId="77777777" w:rsidR="0001329E" w:rsidRDefault="0001329E" w:rsidP="0001329E">
      <w:r>
        <w:rPr>
          <w:rFonts w:ascii="Verdana" w:hAnsi="Verdana"/>
          <w:b/>
          <w:bCs/>
          <w:color w:val="114D61"/>
          <w:sz w:val="20"/>
          <w:szCs w:val="20"/>
        </w:rPr>
        <w:t xml:space="preserve">3/ PGE et prêts directs de l’Etat : </w:t>
      </w:r>
    </w:p>
    <w:p w14:paraId="5512488D" w14:textId="77777777" w:rsidR="0001329E" w:rsidRDefault="0001329E" w:rsidP="0001329E">
      <w:r>
        <w:rPr>
          <w:rFonts w:ascii="Verdana" w:hAnsi="Verdana"/>
          <w:sz w:val="20"/>
          <w:szCs w:val="20"/>
        </w:rPr>
        <w:t> </w:t>
      </w:r>
    </w:p>
    <w:p w14:paraId="39762B28" w14:textId="77777777" w:rsidR="0001329E" w:rsidRDefault="0001329E" w:rsidP="0001329E">
      <w:r>
        <w:rPr>
          <w:rFonts w:ascii="Verdana" w:hAnsi="Verdana"/>
          <w:sz w:val="20"/>
          <w:szCs w:val="20"/>
        </w:rPr>
        <w:t>&gt; PGE :</w:t>
      </w:r>
    </w:p>
    <w:p w14:paraId="05626085" w14:textId="77777777" w:rsidR="0001329E" w:rsidRDefault="0001329E" w:rsidP="0001329E">
      <w:r>
        <w:rPr>
          <w:rFonts w:ascii="Verdana" w:hAnsi="Verdana"/>
          <w:sz w:val="20"/>
          <w:szCs w:val="20"/>
        </w:rPr>
        <w:t> </w:t>
      </w:r>
    </w:p>
    <w:p w14:paraId="2A1D90A1"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6 mois supplémentaires pour contracter un PGE : jusqu’au 31/12/20</w:t>
      </w:r>
      <w:r>
        <w:rPr>
          <w:rFonts w:ascii="Verdana" w:eastAsia="Times New Roman" w:hAnsi="Verdana"/>
          <w:sz w:val="20"/>
          <w:szCs w:val="20"/>
        </w:rPr>
        <w:br/>
      </w:r>
      <w:r>
        <w:rPr>
          <w:rFonts w:ascii="Verdana" w:eastAsia="Times New Roman" w:hAnsi="Verdana"/>
          <w:sz w:val="20"/>
          <w:szCs w:val="20"/>
        </w:rPr>
        <w:br/>
      </w:r>
    </w:p>
    <w:p w14:paraId="4B4240D0"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Amortissement étalé entre 1 et 5 ans supplémentaires à un taux de 1 à 1,5% maximum garantie de l’Etat inclue</w:t>
      </w:r>
      <w:r>
        <w:rPr>
          <w:rFonts w:ascii="Verdana" w:eastAsia="Times New Roman" w:hAnsi="Verdana"/>
          <w:sz w:val="20"/>
          <w:szCs w:val="20"/>
        </w:rPr>
        <w:br/>
      </w:r>
      <w:r>
        <w:rPr>
          <w:rFonts w:ascii="Verdana" w:eastAsia="Times New Roman" w:hAnsi="Verdana"/>
          <w:sz w:val="20"/>
          <w:szCs w:val="20"/>
        </w:rPr>
        <w:br/>
      </w:r>
    </w:p>
    <w:p w14:paraId="47BD3A9D"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lastRenderedPageBreak/>
        <w:t>Nouveau différé d’un an pour le remboursement du PGE soit jusqu’en 2022 avant de commencer le remboursement</w:t>
      </w:r>
      <w:r>
        <w:rPr>
          <w:rFonts w:ascii="Verdana" w:eastAsia="Times New Roman" w:hAnsi="Verdana"/>
          <w:sz w:val="20"/>
          <w:szCs w:val="20"/>
        </w:rPr>
        <w:br/>
      </w:r>
      <w:r>
        <w:rPr>
          <w:rFonts w:ascii="Verdana" w:eastAsia="Times New Roman" w:hAnsi="Verdana"/>
          <w:sz w:val="20"/>
          <w:szCs w:val="20"/>
        </w:rPr>
        <w:br/>
      </w:r>
    </w:p>
    <w:p w14:paraId="417E64B7"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Ce différé de 2 ans au total n’est pas considéré comme un défaut de paiement par la FBF</w:t>
      </w:r>
    </w:p>
    <w:p w14:paraId="28EA857E" w14:textId="77777777" w:rsidR="0001329E" w:rsidRDefault="0001329E" w:rsidP="0001329E">
      <w:pPr>
        <w:pStyle w:val="Paragraphedeliste"/>
      </w:pPr>
      <w:r>
        <w:rPr>
          <w:rFonts w:ascii="Verdana" w:hAnsi="Verdana"/>
          <w:sz w:val="20"/>
          <w:szCs w:val="20"/>
        </w:rPr>
        <w:t> </w:t>
      </w:r>
    </w:p>
    <w:p w14:paraId="480FF16A" w14:textId="77777777" w:rsidR="0001329E" w:rsidRDefault="0001329E" w:rsidP="0001329E">
      <w:r>
        <w:rPr>
          <w:rFonts w:ascii="Verdana" w:hAnsi="Verdana"/>
          <w:sz w:val="20"/>
          <w:szCs w:val="20"/>
        </w:rPr>
        <w:t>&gt;Prêts directs :</w:t>
      </w:r>
    </w:p>
    <w:p w14:paraId="26AD43A7" w14:textId="77777777" w:rsidR="0001329E" w:rsidRDefault="0001329E" w:rsidP="0001329E">
      <w:r>
        <w:rPr>
          <w:rFonts w:ascii="Verdana" w:hAnsi="Verdana"/>
          <w:sz w:val="20"/>
          <w:szCs w:val="20"/>
        </w:rPr>
        <w:t> </w:t>
      </w:r>
    </w:p>
    <w:p w14:paraId="600936D5" w14:textId="77777777" w:rsidR="0001329E" w:rsidRDefault="0001329E" w:rsidP="0001329E">
      <w:r>
        <w:rPr>
          <w:rFonts w:ascii="Verdana" w:hAnsi="Verdana"/>
          <w:sz w:val="20"/>
          <w:szCs w:val="20"/>
        </w:rPr>
        <w:t xml:space="preserve">Pour les entreprises n’ayant pas accès à de la trésorerie qui ne peuvent pas souscrire un PGE, possibilité d’avoir recours aux prêts directs : </w:t>
      </w:r>
    </w:p>
    <w:p w14:paraId="5C896910" w14:textId="77777777" w:rsidR="0001329E" w:rsidRDefault="0001329E" w:rsidP="0001329E">
      <w:r>
        <w:rPr>
          <w:rFonts w:ascii="Verdana" w:hAnsi="Verdana"/>
          <w:sz w:val="20"/>
          <w:szCs w:val="20"/>
        </w:rPr>
        <w:t> </w:t>
      </w:r>
    </w:p>
    <w:p w14:paraId="1E9062EE"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10 000 € pour entreprises de moins de 10 salariés</w:t>
      </w:r>
      <w:r>
        <w:rPr>
          <w:rFonts w:ascii="Verdana" w:eastAsia="Times New Roman" w:hAnsi="Verdana"/>
          <w:sz w:val="20"/>
          <w:szCs w:val="20"/>
        </w:rPr>
        <w:br/>
      </w:r>
      <w:r>
        <w:rPr>
          <w:rFonts w:ascii="Verdana" w:eastAsia="Times New Roman" w:hAnsi="Verdana"/>
          <w:sz w:val="20"/>
          <w:szCs w:val="20"/>
        </w:rPr>
        <w:br/>
      </w:r>
    </w:p>
    <w:p w14:paraId="24300F51"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50 000 € pour entreprises de 10 à 50 salariés</w:t>
      </w:r>
      <w:r>
        <w:rPr>
          <w:rFonts w:ascii="Verdana" w:eastAsia="Times New Roman" w:hAnsi="Verdana"/>
          <w:sz w:val="20"/>
          <w:szCs w:val="20"/>
        </w:rPr>
        <w:br/>
      </w:r>
      <w:r>
        <w:rPr>
          <w:rFonts w:ascii="Verdana" w:eastAsia="Times New Roman" w:hAnsi="Verdana"/>
          <w:sz w:val="20"/>
          <w:szCs w:val="20"/>
        </w:rPr>
        <w:br/>
      </w:r>
    </w:p>
    <w:p w14:paraId="62C85B82" w14:textId="77777777" w:rsidR="0001329E" w:rsidRDefault="0001329E" w:rsidP="0001329E">
      <w:pPr>
        <w:pStyle w:val="Paragraphedeliste"/>
        <w:numPr>
          <w:ilvl w:val="0"/>
          <w:numId w:val="1"/>
        </w:numPr>
        <w:rPr>
          <w:rFonts w:eastAsia="Times New Roman"/>
        </w:rPr>
      </w:pPr>
      <w:r>
        <w:rPr>
          <w:rFonts w:ascii="Verdana" w:eastAsia="Times New Roman" w:hAnsi="Verdana"/>
          <w:sz w:val="20"/>
          <w:szCs w:val="20"/>
        </w:rPr>
        <w:t>Avance remboursable de 3 mois de CA pour entreprises de + de 50 salariés</w:t>
      </w:r>
    </w:p>
    <w:p w14:paraId="3B6B7633" w14:textId="77777777" w:rsidR="0001329E" w:rsidRDefault="0001329E" w:rsidP="0001329E">
      <w:r>
        <w:rPr>
          <w:rFonts w:ascii="Verdana" w:hAnsi="Verdana"/>
          <w:sz w:val="20"/>
          <w:szCs w:val="20"/>
        </w:rPr>
        <w:t> </w:t>
      </w:r>
    </w:p>
    <w:p w14:paraId="24A2528E" w14:textId="77777777" w:rsidR="0001329E" w:rsidRDefault="0001329E" w:rsidP="0001329E">
      <w:r>
        <w:rPr>
          <w:rFonts w:ascii="Verdana" w:hAnsi="Verdana"/>
          <w:b/>
          <w:bCs/>
          <w:color w:val="114D61"/>
          <w:sz w:val="20"/>
          <w:szCs w:val="20"/>
        </w:rPr>
        <w:t>4/ Loyers</w:t>
      </w:r>
    </w:p>
    <w:p w14:paraId="0245C4C4" w14:textId="77777777" w:rsidR="0001329E" w:rsidRDefault="0001329E" w:rsidP="0001329E">
      <w:r>
        <w:rPr>
          <w:rFonts w:ascii="Verdana" w:hAnsi="Verdana"/>
          <w:sz w:val="20"/>
          <w:szCs w:val="20"/>
        </w:rPr>
        <w:t> </w:t>
      </w:r>
    </w:p>
    <w:p w14:paraId="499A4900" w14:textId="77777777" w:rsidR="0001329E" w:rsidRDefault="0001329E" w:rsidP="0001329E">
      <w:r>
        <w:rPr>
          <w:rFonts w:ascii="Verdana" w:hAnsi="Verdana"/>
          <w:sz w:val="20"/>
          <w:szCs w:val="20"/>
        </w:rPr>
        <w:t>Mise en place d’un crédit d’impôt de 30% du montant des loyers abandonnés pour le bailleur qui renonce à au moins un mois de loyer, pour les entreprises de moins de 250 salariés des secteurs fermés et HCR, sport, culture, événementiel, cumulable avec FDS</w:t>
      </w:r>
    </w:p>
    <w:p w14:paraId="3EEF6EE0" w14:textId="77777777" w:rsidR="0001329E" w:rsidRDefault="0001329E" w:rsidP="0001329E">
      <w:r>
        <w:rPr>
          <w:rFonts w:ascii="Verdana" w:hAnsi="Verdana"/>
          <w:sz w:val="20"/>
          <w:szCs w:val="20"/>
        </w:rPr>
        <w:t> </w:t>
      </w:r>
    </w:p>
    <w:p w14:paraId="027D6B1C" w14:textId="77777777" w:rsidR="0001329E" w:rsidRDefault="0001329E" w:rsidP="0001329E">
      <w:r>
        <w:rPr>
          <w:rFonts w:ascii="Verdana" w:hAnsi="Verdana"/>
          <w:b/>
          <w:bCs/>
          <w:color w:val="114D61"/>
          <w:sz w:val="20"/>
          <w:szCs w:val="20"/>
        </w:rPr>
        <w:t>5/ Numérisation des artisans et commerçants</w:t>
      </w:r>
    </w:p>
    <w:p w14:paraId="2082BB95" w14:textId="77777777" w:rsidR="0001329E" w:rsidRDefault="0001329E" w:rsidP="0001329E">
      <w:r>
        <w:rPr>
          <w:rFonts w:ascii="Verdana" w:hAnsi="Verdana"/>
          <w:sz w:val="20"/>
          <w:szCs w:val="20"/>
        </w:rPr>
        <w:t> </w:t>
      </w:r>
    </w:p>
    <w:p w14:paraId="526315A0" w14:textId="77777777" w:rsidR="0001329E" w:rsidRDefault="0001329E" w:rsidP="0001329E">
      <w:r>
        <w:rPr>
          <w:rFonts w:ascii="Verdana" w:hAnsi="Verdana"/>
          <w:sz w:val="20"/>
          <w:szCs w:val="20"/>
        </w:rPr>
        <w:t>Soutien financier de l’Etat va être mis en œuvre pour inciter les commerçants à vendre en ligne dans la période d’achats de Noël</w:t>
      </w:r>
    </w:p>
    <w:p w14:paraId="3E418B71" w14:textId="77777777" w:rsidR="0001329E" w:rsidRDefault="0001329E" w:rsidP="0001329E">
      <w:r>
        <w:rPr>
          <w:rFonts w:ascii="Verdana" w:hAnsi="Verdana"/>
          <w:sz w:val="20"/>
          <w:szCs w:val="20"/>
        </w:rPr>
        <w:t> </w:t>
      </w:r>
    </w:p>
    <w:p w14:paraId="738F529A" w14:textId="77777777" w:rsidR="0001329E" w:rsidRDefault="0001329E" w:rsidP="0001329E">
      <w:r>
        <w:rPr>
          <w:rFonts w:ascii="Verdana" w:hAnsi="Verdana"/>
          <w:sz w:val="20"/>
          <w:szCs w:val="20"/>
        </w:rPr>
        <w:t> </w:t>
      </w:r>
    </w:p>
    <w:p w14:paraId="5C60D501" w14:textId="77777777" w:rsidR="0001329E" w:rsidRDefault="0001329E" w:rsidP="0001329E">
      <w:pPr>
        <w:pStyle w:val="Paragraphedeliste"/>
        <w:numPr>
          <w:ilvl w:val="0"/>
          <w:numId w:val="2"/>
        </w:numPr>
        <w:rPr>
          <w:rFonts w:eastAsia="Times New Roman"/>
        </w:rPr>
      </w:pPr>
      <w:r>
        <w:rPr>
          <w:rFonts w:ascii="Verdana" w:eastAsia="Times New Roman" w:hAnsi="Verdana"/>
          <w:sz w:val="20"/>
          <w:szCs w:val="20"/>
        </w:rPr>
        <w:t xml:space="preserve">Coût total de ces mesures : 15 milliards </w:t>
      </w:r>
    </w:p>
    <w:p w14:paraId="09D87955" w14:textId="77777777" w:rsidR="0001329E" w:rsidRDefault="0001329E" w:rsidP="0001329E">
      <w:r>
        <w:rPr>
          <w:rFonts w:ascii="Verdana" w:hAnsi="Verdana"/>
          <w:sz w:val="20"/>
          <w:szCs w:val="20"/>
        </w:rPr>
        <w:t> </w:t>
      </w:r>
    </w:p>
    <w:p w14:paraId="50B36FEB" w14:textId="77777777" w:rsidR="0001329E" w:rsidRDefault="0001329E" w:rsidP="0001329E">
      <w:r>
        <w:rPr>
          <w:rFonts w:ascii="Verdana" w:hAnsi="Verdana"/>
          <w:sz w:val="20"/>
          <w:szCs w:val="20"/>
        </w:rPr>
        <w:t> </w:t>
      </w:r>
    </w:p>
    <w:p w14:paraId="0ED97380" w14:textId="77777777" w:rsidR="0001329E" w:rsidRDefault="0001329E" w:rsidP="0001329E">
      <w:r>
        <w:rPr>
          <w:rFonts w:ascii="Verdana" w:hAnsi="Verdana"/>
          <w:sz w:val="20"/>
          <w:szCs w:val="20"/>
        </w:rPr>
        <w:t> </w:t>
      </w:r>
    </w:p>
    <w:p w14:paraId="4730A2E8" w14:textId="77777777" w:rsidR="0001329E" w:rsidRDefault="0001329E" w:rsidP="0001329E">
      <w:r>
        <w:rPr>
          <w:rFonts w:ascii="Avenir LT Std 35 Light" w:hAnsi="Avenir LT Std 35 Light"/>
        </w:rPr>
        <w:t> </w:t>
      </w:r>
    </w:p>
    <w:tbl>
      <w:tblPr>
        <w:tblW w:w="7500" w:type="dxa"/>
        <w:tblCellSpacing w:w="0" w:type="dxa"/>
        <w:tblCellMar>
          <w:left w:w="0" w:type="dxa"/>
          <w:right w:w="0" w:type="dxa"/>
        </w:tblCellMar>
        <w:tblLook w:val="04A0" w:firstRow="1" w:lastRow="0" w:firstColumn="1" w:lastColumn="0" w:noHBand="0" w:noVBand="1"/>
      </w:tblPr>
      <w:tblGrid>
        <w:gridCol w:w="3268"/>
        <w:gridCol w:w="4232"/>
      </w:tblGrid>
      <w:tr w:rsidR="0001329E" w14:paraId="310C780F" w14:textId="77777777" w:rsidTr="0001329E">
        <w:trPr>
          <w:tblCellSpacing w:w="0" w:type="dxa"/>
        </w:trPr>
        <w:tc>
          <w:tcPr>
            <w:tcW w:w="3268" w:type="dxa"/>
            <w:vAlign w:val="center"/>
            <w:hideMark/>
          </w:tcPr>
          <w:p w14:paraId="2FE67AF8" w14:textId="77777777" w:rsidR="0001329E" w:rsidRDefault="0001329E">
            <w:r>
              <w:rPr>
                <w:rFonts w:ascii="&amp;quot" w:hAnsi="&amp;quot"/>
                <w:lang w:eastAsia="fr-FR"/>
              </w:rPr>
              <w:t> </w:t>
            </w:r>
          </w:p>
        </w:tc>
        <w:tc>
          <w:tcPr>
            <w:tcW w:w="4232" w:type="dxa"/>
            <w:hideMark/>
          </w:tcPr>
          <w:p w14:paraId="38084A05" w14:textId="77777777" w:rsidR="0001329E" w:rsidRDefault="0001329E">
            <w:r>
              <w:rPr>
                <w:lang w:eastAsia="fr-FR"/>
              </w:rPr>
              <w:t> </w:t>
            </w:r>
          </w:p>
        </w:tc>
      </w:tr>
    </w:tbl>
    <w:p w14:paraId="4666B3E9" w14:textId="77777777" w:rsidR="0001329E" w:rsidRDefault="0001329E" w:rsidP="0001329E">
      <w:r>
        <w:t> </w:t>
      </w:r>
    </w:p>
    <w:p w14:paraId="6D10D107" w14:textId="77777777" w:rsidR="0001329E" w:rsidRDefault="0001329E" w:rsidP="0001329E">
      <w:r>
        <w:rPr>
          <w:lang w:eastAsia="fr-FR"/>
        </w:rPr>
        <w:t> </w:t>
      </w:r>
    </w:p>
    <w:p w14:paraId="392FDC26" w14:textId="77777777" w:rsidR="0001329E" w:rsidRDefault="0001329E" w:rsidP="0001329E">
      <w:r>
        <w:t> </w:t>
      </w:r>
    </w:p>
    <w:p w14:paraId="7A5986F6" w14:textId="77777777" w:rsidR="007F22B9" w:rsidRDefault="007F22B9"/>
    <w:sectPr w:rsidR="007F2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35 Light">
    <w:panose1 w:val="020B0402020203020204"/>
    <w:charset w:val="00"/>
    <w:family w:val="swiss"/>
    <w:notTrueType/>
    <w:pitch w:val="variable"/>
    <w:sig w:usb0="800000AF" w:usb1="4000204A" w:usb2="00000000" w:usb3="00000000" w:csb0="00000001"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35D25"/>
    <w:multiLevelType w:val="hybridMultilevel"/>
    <w:tmpl w:val="55D2E068"/>
    <w:lvl w:ilvl="0" w:tplc="DECCBCEC">
      <w:start w:val="1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F032DF7"/>
    <w:multiLevelType w:val="hybridMultilevel"/>
    <w:tmpl w:val="11AE8BF6"/>
    <w:lvl w:ilvl="0" w:tplc="0A12CD06">
      <w:start w:val="1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9E"/>
    <w:rsid w:val="0001329E"/>
    <w:rsid w:val="006B398E"/>
    <w:rsid w:val="007F0A53"/>
    <w:rsid w:val="007F22B9"/>
    <w:rsid w:val="00AB1CAA"/>
    <w:rsid w:val="00CB0B22"/>
    <w:rsid w:val="00CC6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F18D"/>
  <w15:chartTrackingRefBased/>
  <w15:docId w15:val="{58D78F84-94F2-4EA3-A0B5-F243FD45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9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2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3243</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Gouriou</dc:creator>
  <cp:keywords/>
  <dc:description/>
  <cp:lastModifiedBy>Martine Gouriou</cp:lastModifiedBy>
  <cp:revision>1</cp:revision>
  <dcterms:created xsi:type="dcterms:W3CDTF">2020-10-30T07:11:00Z</dcterms:created>
  <dcterms:modified xsi:type="dcterms:W3CDTF">2020-10-30T07:13:00Z</dcterms:modified>
</cp:coreProperties>
</file>